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keepNext w:val="0"/>
        <w:keepLines w:val="0"/>
        <w:spacing w:after="0" w:before="0" w:line="230" w:lineRule="auto"/>
        <w:contextualSpacing w:val="0"/>
        <w:rPr>
          <w:b w:val="1"/>
          <w:color w:val="1155cc"/>
          <w:sz w:val="36"/>
          <w:szCs w:val="36"/>
          <w:highlight w:val="white"/>
          <w:u w:val="single"/>
        </w:rPr>
      </w:pPr>
      <w:bookmarkStart w:colFirst="0" w:colLast="0" w:name="_uqpijx63am95" w:id="0"/>
      <w:bookmarkEnd w:id="0"/>
      <w:r w:rsidDel="00000000" w:rsidR="00000000" w:rsidRPr="00000000">
        <w:fldChar w:fldCharType="begin"/>
        <w:instrText xml:space="preserve"> HYPERLINK "https://ashford.instructure.com/courses/13702/users/4200" </w:instrText>
        <w:fldChar w:fldCharType="separate"/>
      </w:r>
      <w:r w:rsidDel="00000000" w:rsidR="00000000" w:rsidRPr="00000000">
        <w:rPr>
          <w:b w:val="1"/>
          <w:color w:val="1155cc"/>
          <w:sz w:val="36"/>
          <w:szCs w:val="36"/>
          <w:highlight w:val="white"/>
          <w:u w:val="single"/>
          <w:rtl w:val="0"/>
        </w:rPr>
        <w:t xml:space="preserve">Joseph Toppe</w:t>
      </w:r>
    </w:p>
    <w:p w:rsidR="00000000" w:rsidDel="00000000" w:rsidP="00000000" w:rsidRDefault="00000000" w:rsidRPr="00000000">
      <w:pPr>
        <w:spacing w:line="345" w:lineRule="auto"/>
        <w:contextualSpacing w:val="0"/>
        <w:rPr>
          <w:color w:val="2d3b45"/>
          <w:sz w:val="24"/>
          <w:szCs w:val="24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MondayDec 4 at 9:05am</w:t>
      </w:r>
    </w:p>
    <w:p w:rsidR="00000000" w:rsidDel="00000000" w:rsidP="00000000" w:rsidRDefault="00000000" w:rsidRPr="00000000">
      <w:pPr>
        <w:ind w:left="160" w:firstLine="0"/>
        <w:contextualSpacing w:val="0"/>
        <w:rPr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fldChar w:fldCharType="begin"/>
        <w:instrText xml:space="preserve"> HYPERLINK "https://ashford.instructure.com/courses/13702/discussion_topics/368126#" </w:instrText>
        <w:fldChar w:fldCharType="separate"/>
      </w:r>
      <w:r w:rsidDel="00000000" w:rsidR="00000000" w:rsidRPr="00000000">
        <w:rPr>
          <w:color w:val="1155cc"/>
          <w:sz w:val="24"/>
          <w:szCs w:val="24"/>
          <w:highlight w:val="white"/>
          <w:u w:val="single"/>
          <w:rtl w:val="0"/>
        </w:rPr>
        <w:t xml:space="preserve">Manage Discussion Entry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b w:val="1"/>
          <w:color w:val="800080"/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800080"/>
          <w:sz w:val="28"/>
          <w:szCs w:val="28"/>
          <w:rtl w:val="0"/>
        </w:rPr>
        <w:t xml:space="preserve">                                   </w:t>
        <w:tab/>
        <w:t xml:space="preserve">    Identifying with your newsroom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Community journalists have always enjoyed a family-style relationship between their office, their readership, and their community.  However, the journalistic language has been altered by mass media platforms and the globalization of the world's collective citizenry.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To accurately represent their community through news, reporters must understand the nature of this news and the many diverse personalities and cultures creating it. In essence, a media outlet's newsroom must mirror its demographic!  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Fascinating comments on cultural competence in journalism:</w:t>
      </w:r>
      <w:r w:rsidDel="00000000" w:rsidR="00000000" w:rsidRPr="00000000">
        <w:fldChar w:fldCharType="begin"/>
        <w:instrText xml:space="preserve"> HYPERLINK "https://www.youtube.com/watch?v=TNWIJeEYMFA" </w:instrText>
        <w:fldChar w:fldCharType="separate"/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Is journalism culturally competentLinks to an external site.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color w:val="1155cc"/>
          <w:sz w:val="15"/>
          <w:szCs w:val="15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"https://ashford.instructure.com/courses/7785/discussion_topics/257734#" </w:instrText>
        <w:fldChar w:fldCharType="separate"/>
      </w:r>
      <w:r w:rsidDel="00000000" w:rsidR="00000000" w:rsidRPr="00000000">
        <w:rPr>
          <w:color w:val="1155cc"/>
          <w:sz w:val="15"/>
          <w:szCs w:val="15"/>
          <w:u w:val="single"/>
          <w:rtl w:val="0"/>
        </w:rPr>
        <w:t xml:space="preserve">Minimize Video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color w:val="2d3b45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180" w:before="180" w:lineRule="auto"/>
        <w:contextualSpacing w:val="0"/>
        <w:rPr>
          <w:b w:val="1"/>
          <w:color w:val="800080"/>
          <w:sz w:val="28"/>
          <w:szCs w:val="28"/>
        </w:rPr>
      </w:pPr>
      <w:r w:rsidDel="00000000" w:rsidR="00000000" w:rsidRPr="00000000">
        <w:rPr>
          <w:b w:val="1"/>
          <w:color w:val="800080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>
      <w:pPr>
        <w:spacing w:before="180" w:lineRule="auto"/>
        <w:contextualSpacing w:val="0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Is journalism culturally competent. (2015, November 19). Retrieved April 17, 2017, from https://www.youtube.com/watch?v=TNWIJeEYMFA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