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7F46F41B" w14:textId="77777777" w:rsidR="00AE68CD" w:rsidRDefault="00AE68CD" w:rsidP="00AE68CD">
      <w:pPr>
        <w:pStyle w:val="Default"/>
        <w:rPr>
          <w:sz w:val="23"/>
          <w:szCs w:val="23"/>
        </w:rPr>
      </w:pPr>
      <w:r>
        <w:t xml:space="preserve">NUR 601 </w:t>
      </w:r>
      <w:r>
        <w:rPr>
          <w:sz w:val="23"/>
          <w:szCs w:val="23"/>
        </w:rPr>
        <w:t xml:space="preserve">initial literature review, and Rubric </w:t>
      </w:r>
    </w:p>
    <w:p w14:paraId="600FB9C0" w14:textId="77777777" w:rsidR="00AE68CD" w:rsidRDefault="00AE68CD" w:rsidP="00AE68CD">
      <w:pPr>
        <w:pStyle w:val="Default"/>
        <w:rPr>
          <w:sz w:val="23"/>
          <w:szCs w:val="23"/>
        </w:rPr>
      </w:pPr>
    </w:p>
    <w:p w14:paraId="5655E406" w14:textId="77777777" w:rsidR="00AE68CD" w:rsidRDefault="00AE68CD" w:rsidP="00AE68CD">
      <w:pPr>
        <w:pStyle w:val="Default"/>
        <w:spacing w:after="3.60pt"/>
        <w:rPr>
          <w:sz w:val="23"/>
          <w:szCs w:val="23"/>
        </w:rPr>
      </w:pPr>
      <w:r>
        <w:rPr>
          <w:sz w:val="23"/>
          <w:szCs w:val="23"/>
        </w:rPr>
        <w:t xml:space="preserve">1. Please pick one topic that you have a passion for and want to learn more about. </w:t>
      </w:r>
    </w:p>
    <w:p w14:paraId="38199BE3" w14:textId="77777777" w:rsidR="00AE68CD" w:rsidRDefault="00AE68CD" w:rsidP="00AE68CD">
      <w:pPr>
        <w:pStyle w:val="Default"/>
        <w:spacing w:after="3.60pt"/>
        <w:rPr>
          <w:sz w:val="23"/>
          <w:szCs w:val="23"/>
        </w:rPr>
      </w:pPr>
      <w:r>
        <w:rPr>
          <w:sz w:val="23"/>
          <w:szCs w:val="23"/>
        </w:rPr>
        <w:t xml:space="preserve">2. You will need to complete a library search and choose 10 North American Journals </w:t>
      </w:r>
    </w:p>
    <w:p w14:paraId="497E27E9" w14:textId="77777777" w:rsidR="00AE68CD" w:rsidRDefault="00AE68CD" w:rsidP="00AE68CD">
      <w:pPr>
        <w:pStyle w:val="Default"/>
        <w:rPr>
          <w:sz w:val="23"/>
          <w:szCs w:val="23"/>
        </w:rPr>
      </w:pPr>
      <w:r>
        <w:rPr>
          <w:sz w:val="23"/>
          <w:szCs w:val="23"/>
        </w:rPr>
        <w:t xml:space="preserve">4. Include reference page </w:t>
      </w:r>
    </w:p>
    <w:p w14:paraId="07CDE453" w14:textId="77777777" w:rsidR="00AE68CD" w:rsidRDefault="00AE68CD" w:rsidP="00AE68CD">
      <w:pPr>
        <w:pStyle w:val="Default"/>
        <w:rPr>
          <w:sz w:val="23"/>
          <w:szCs w:val="23"/>
        </w:rPr>
      </w:pPr>
    </w:p>
    <w:p w14:paraId="28151AD0" w14:textId="5E6C7FD6" w:rsidR="00AE68CD" w:rsidRDefault="00AE68CD" w:rsidP="00AE68CD">
      <w:pPr>
        <w:pStyle w:val="Default"/>
        <w:rPr>
          <w:sz w:val="23"/>
          <w:szCs w:val="23"/>
        </w:rPr>
      </w:pPr>
      <w:r w:rsidRPr="00AE68CD">
        <w:rPr>
          <w:sz w:val="23"/>
          <w:szCs w:val="23"/>
          <w:highlight w:val="red"/>
        </w:rPr>
        <w:t>Note my Topic</w:t>
      </w:r>
      <w:r>
        <w:rPr>
          <w:sz w:val="23"/>
          <w:szCs w:val="23"/>
        </w:rPr>
        <w:t xml:space="preserve">: </w:t>
      </w:r>
      <w:r w:rsidRPr="00AE68CD">
        <w:rPr>
          <w:sz w:val="23"/>
          <w:szCs w:val="23"/>
          <w:highlight w:val="cyan"/>
        </w:rPr>
        <w:t>OBESITY and DIET</w:t>
      </w:r>
    </w:p>
    <w:p w14:paraId="4CB26891" w14:textId="77777777" w:rsidR="00AE68CD" w:rsidRDefault="00AE68CD" w:rsidP="00AE68CD">
      <w:pPr>
        <w:pStyle w:val="Default"/>
        <w:rPr>
          <w:sz w:val="23"/>
          <w:szCs w:val="23"/>
        </w:rPr>
      </w:pPr>
      <w:r>
        <w:rPr>
          <w:sz w:val="23"/>
          <w:szCs w:val="23"/>
        </w:rPr>
        <w:t xml:space="preserve">You will need to pick one topic for your project (5 pts) </w:t>
      </w:r>
    </w:p>
    <w:p w14:paraId="736255B2" w14:textId="77777777" w:rsidR="00AE68CD" w:rsidRDefault="00AE68CD" w:rsidP="00AE68CD">
      <w:pPr>
        <w:pStyle w:val="Default"/>
        <w:rPr>
          <w:sz w:val="23"/>
          <w:szCs w:val="23"/>
        </w:rPr>
      </w:pPr>
      <w:r>
        <w:rPr>
          <w:sz w:val="23"/>
          <w:szCs w:val="23"/>
        </w:rPr>
        <w:t xml:space="preserve">Literature search </w:t>
      </w:r>
    </w:p>
    <w:p w14:paraId="1E7E7165" w14:textId="77777777" w:rsidR="00AE68CD" w:rsidRDefault="00AE68CD" w:rsidP="00AE68CD">
      <w:pPr>
        <w:pStyle w:val="Default"/>
        <w:rPr>
          <w:sz w:val="23"/>
          <w:szCs w:val="23"/>
        </w:rPr>
      </w:pPr>
    </w:p>
    <w:p w14:paraId="73D10089" w14:textId="77777777" w:rsidR="00AE68CD" w:rsidRDefault="00AE68CD" w:rsidP="00AE68CD">
      <w:pPr>
        <w:pStyle w:val="Default"/>
        <w:rPr>
          <w:sz w:val="23"/>
          <w:szCs w:val="23"/>
        </w:rPr>
      </w:pPr>
      <w:r>
        <w:rPr>
          <w:sz w:val="23"/>
          <w:szCs w:val="23"/>
        </w:rPr>
        <w:t xml:space="preserve">You will need to perform a literature search for your topic, and then you will choose 10 original research articles from North American Journals that represent your topic (30 pts) </w:t>
      </w:r>
    </w:p>
    <w:p w14:paraId="340E8799" w14:textId="77777777" w:rsidR="00AE68CD" w:rsidRDefault="00AE68CD" w:rsidP="00AE68CD">
      <w:pPr>
        <w:pStyle w:val="Default"/>
        <w:rPr>
          <w:sz w:val="23"/>
          <w:szCs w:val="23"/>
        </w:rPr>
      </w:pPr>
    </w:p>
    <w:p w14:paraId="2C74CDED" w14:textId="77777777" w:rsidR="00AE68CD" w:rsidRDefault="00AE68CD" w:rsidP="00AE68CD">
      <w:pPr>
        <w:pStyle w:val="Default"/>
        <w:rPr>
          <w:sz w:val="23"/>
          <w:szCs w:val="23"/>
        </w:rPr>
      </w:pPr>
      <w:r>
        <w:rPr>
          <w:sz w:val="23"/>
          <w:szCs w:val="23"/>
        </w:rPr>
        <w:t xml:space="preserve">Level of evidence </w:t>
      </w:r>
    </w:p>
    <w:p w14:paraId="180CD2AB" w14:textId="77777777" w:rsidR="00AE68CD" w:rsidRDefault="00AE68CD" w:rsidP="00AE68CD">
      <w:pPr>
        <w:pStyle w:val="Default"/>
        <w:rPr>
          <w:sz w:val="23"/>
          <w:szCs w:val="23"/>
        </w:rPr>
      </w:pPr>
      <w:r>
        <w:rPr>
          <w:sz w:val="23"/>
          <w:szCs w:val="23"/>
        </w:rPr>
        <w:t xml:space="preserve">Using the John Hopkins level of evidence, score each article (15 points) </w:t>
      </w:r>
    </w:p>
    <w:p w14:paraId="3EFAAE3B" w14:textId="77777777" w:rsidR="00AE68CD" w:rsidRDefault="00AE68CD" w:rsidP="00AE68CD">
      <w:pPr>
        <w:pStyle w:val="Default"/>
        <w:rPr>
          <w:sz w:val="23"/>
          <w:szCs w:val="23"/>
        </w:rPr>
      </w:pPr>
    </w:p>
    <w:p w14:paraId="31FAEB8B" w14:textId="77777777" w:rsidR="00AE68CD" w:rsidRDefault="00371C80" w:rsidP="00AE68CD">
      <w:pPr>
        <w:pStyle w:val="Default"/>
        <w:rPr>
          <w:color w:val="4472C4" w:themeColor="accent1"/>
          <w:sz w:val="23"/>
          <w:szCs w:val="23"/>
        </w:rPr>
      </w:pPr>
      <w:hyperlink r:id="rId4" w:history="1">
        <w:r w:rsidR="00AE68CD" w:rsidRPr="006A5CA9">
          <w:rPr>
            <w:rStyle w:val="Hyperlink"/>
            <w:sz w:val="23"/>
            <w:szCs w:val="23"/>
          </w:rPr>
          <w:t>https://www.hopkinsmedicine.org/evidence-based-practice/_docs/appendix_c_evidence_level_quality_guide.pdf</w:t>
        </w:r>
      </w:hyperlink>
      <w:r w:rsidR="00AE68CD" w:rsidRPr="004D2828">
        <w:rPr>
          <w:color w:val="4472C4" w:themeColor="accent1"/>
          <w:sz w:val="23"/>
          <w:szCs w:val="23"/>
        </w:rPr>
        <w:t xml:space="preserve"> </w:t>
      </w:r>
    </w:p>
    <w:p w14:paraId="022B12BC" w14:textId="77777777" w:rsidR="00AE68CD" w:rsidRPr="004D2828" w:rsidRDefault="00AE68CD" w:rsidP="00AE68CD">
      <w:pPr>
        <w:pStyle w:val="Default"/>
        <w:rPr>
          <w:color w:val="4472C4" w:themeColor="accent1"/>
          <w:sz w:val="23"/>
          <w:szCs w:val="23"/>
        </w:rPr>
      </w:pPr>
    </w:p>
    <w:p w14:paraId="497A649A" w14:textId="77777777" w:rsidR="00AE68CD" w:rsidRDefault="00AE68CD" w:rsidP="00AE68CD">
      <w:pPr>
        <w:pStyle w:val="Default"/>
        <w:rPr>
          <w:sz w:val="23"/>
          <w:szCs w:val="23"/>
        </w:rPr>
      </w:pPr>
    </w:p>
    <w:p w14:paraId="77724B86" w14:textId="77777777" w:rsidR="00AE68CD" w:rsidRDefault="00AE68CD" w:rsidP="00AE68CD">
      <w:pPr>
        <w:pStyle w:val="Default"/>
        <w:rPr>
          <w:sz w:val="23"/>
          <w:szCs w:val="23"/>
        </w:rPr>
      </w:pPr>
      <w:r>
        <w:rPr>
          <w:sz w:val="23"/>
          <w:szCs w:val="23"/>
        </w:rPr>
        <w:t xml:space="preserve">APA </w:t>
      </w:r>
    </w:p>
    <w:p w14:paraId="76C853E1" w14:textId="4B9A3F4F" w:rsidR="00AE68CD" w:rsidRDefault="00AE68CD" w:rsidP="00AE68CD">
      <w:pPr>
        <w:rPr>
          <w:sz w:val="23"/>
          <w:szCs w:val="23"/>
        </w:rPr>
      </w:pPr>
      <w:r>
        <w:rPr>
          <w:sz w:val="23"/>
          <w:szCs w:val="23"/>
        </w:rPr>
        <w:t>Your reference page must have listed all 10 articles that you have used for this assignment, following APA format. (10 pts)</w:t>
      </w:r>
    </w:p>
    <w:p w14:paraId="777B9F13" w14:textId="5C9292E3" w:rsidR="00373A41" w:rsidRDefault="00373A41" w:rsidP="00AE68CD">
      <w:pPr>
        <w:rPr>
          <w:sz w:val="23"/>
          <w:szCs w:val="23"/>
        </w:rPr>
      </w:pPr>
    </w:p>
    <w:p w14:paraId="33719558" w14:textId="330B9370" w:rsidR="00373A41" w:rsidRDefault="00373A41" w:rsidP="00373A41">
      <w:pPr>
        <w:rPr>
          <w:sz w:val="23"/>
          <w:szCs w:val="23"/>
        </w:rPr>
      </w:pPr>
      <w:r w:rsidRPr="00373A41">
        <w:rPr>
          <w:sz w:val="23"/>
          <w:szCs w:val="23"/>
        </w:rPr>
        <w:t xml:space="preserve">The initial review of the literature is a short summary of what is already known about the project area of interest, what has been successfully implemented, what is lacking and in need of further exploration, and articles emphasizing use of the theoretical framework chosen by the student as it pertains to the project area of interest.  At times, classic and seminal work older than the 5-yearlimit can be included in the review of the literature since they are timeless and continue to support current practice.  The Initial Review of the Literature is written following APA format and should include subheadings addressing areas of the literature explored.  The Initial Review of the Literature section should be presented as follows: </w:t>
      </w:r>
    </w:p>
    <w:p w14:paraId="06F8AFB8" w14:textId="77777777" w:rsidR="00A84E4D" w:rsidRPr="00A84E4D" w:rsidRDefault="00A84E4D" w:rsidP="00A84E4D">
      <w:pPr>
        <w:rPr>
          <w:sz w:val="23"/>
          <w:szCs w:val="23"/>
        </w:rPr>
      </w:pPr>
      <w:r w:rsidRPr="00A84E4D">
        <w:rPr>
          <w:sz w:val="23"/>
          <w:szCs w:val="23"/>
        </w:rPr>
        <w:t>Initial Review of the Literature</w:t>
      </w:r>
    </w:p>
    <w:p w14:paraId="5E240016" w14:textId="0D79DFB1" w:rsidR="00A84E4D" w:rsidRDefault="00A84E4D" w:rsidP="00A84E4D">
      <w:pPr>
        <w:rPr>
          <w:sz w:val="23"/>
          <w:szCs w:val="23"/>
        </w:rPr>
      </w:pPr>
      <w:r w:rsidRPr="00A84E4D">
        <w:rPr>
          <w:sz w:val="23"/>
          <w:szCs w:val="23"/>
        </w:rPr>
        <w:t>A review of nursing and health related literature will be conducted to explore (project area of interest) using the following keywords both singularly and in multiple combinations: ___, ___, ____</w:t>
      </w:r>
      <w:proofErr w:type="gramStart"/>
      <w:r w:rsidRPr="00A84E4D">
        <w:rPr>
          <w:sz w:val="23"/>
          <w:szCs w:val="23"/>
        </w:rPr>
        <w:t>.....</w:t>
      </w:r>
      <w:proofErr w:type="gramEnd"/>
      <w:r w:rsidRPr="00A84E4D">
        <w:rPr>
          <w:sz w:val="23"/>
          <w:szCs w:val="23"/>
        </w:rPr>
        <w:t xml:space="preserve"> Databases searched, limited to the years ___ and ___, will include AMED, Alt Health Watch, CINAHL Plus with Full Text, and EBSCO. The search is limited to the years ____ to ____ </w:t>
      </w:r>
      <w:proofErr w:type="spellStart"/>
      <w:r w:rsidRPr="00A84E4D">
        <w:rPr>
          <w:sz w:val="23"/>
          <w:szCs w:val="23"/>
        </w:rPr>
        <w:t>to</w:t>
      </w:r>
      <w:proofErr w:type="spellEnd"/>
      <w:r w:rsidRPr="00A84E4D">
        <w:rPr>
          <w:sz w:val="23"/>
          <w:szCs w:val="23"/>
        </w:rPr>
        <w:t xml:space="preserve"> ensure that current evidence-based literature is reviewed and summarized for the purpose of this project.  A summary of the review of the literature is presented.</w:t>
      </w:r>
    </w:p>
    <w:p w14:paraId="533994A5" w14:textId="77777777" w:rsidR="00A84E4D" w:rsidRPr="00373A41" w:rsidRDefault="00A84E4D" w:rsidP="00373A41">
      <w:pPr>
        <w:rPr>
          <w:sz w:val="23"/>
          <w:szCs w:val="23"/>
        </w:rPr>
      </w:pPr>
    </w:p>
    <w:p w14:paraId="385A5913" w14:textId="0244E9E5" w:rsidR="00373A41" w:rsidRPr="00373A41" w:rsidRDefault="00373A41" w:rsidP="00373A41">
      <w:pPr>
        <w:rPr>
          <w:sz w:val="23"/>
          <w:szCs w:val="23"/>
        </w:rPr>
      </w:pPr>
      <w:r w:rsidRPr="00373A41">
        <w:rPr>
          <w:sz w:val="23"/>
          <w:szCs w:val="23"/>
          <w:highlight w:val="red"/>
        </w:rPr>
        <w:t>Example:</w:t>
      </w:r>
    </w:p>
    <w:p w14:paraId="1C69C728" w14:textId="28CDAFBD" w:rsidR="00373A41" w:rsidRPr="00373A41" w:rsidRDefault="00373A41" w:rsidP="00373A41">
      <w:pPr>
        <w:rPr>
          <w:sz w:val="23"/>
          <w:szCs w:val="23"/>
          <w:highlight w:val="cyan"/>
        </w:rPr>
      </w:pPr>
      <w:r w:rsidRPr="00373A41">
        <w:rPr>
          <w:sz w:val="23"/>
          <w:szCs w:val="23"/>
          <w:highlight w:val="cyan"/>
        </w:rPr>
        <w:lastRenderedPageBreak/>
        <w:t>A review of nursing and health related literature will be conducted to explore parental stress in the neonatal intensive care unit using the following keywords both singularly and in multiple combinations: stress, parent, parental, NICU, neonatal intensive care unit. Databases searched will include CINAHL Plus with Full Text, Google Scholar and EBSCO. The search is limited to the years 2016 to 2021 to ensure that current evidence-based literature is reviewed and summarized for the purpose of this project. A summary of the review of the literature is presented.</w:t>
      </w:r>
    </w:p>
    <w:p w14:paraId="7E19F962" w14:textId="210A0FE4" w:rsidR="00373A41" w:rsidRDefault="00373A41" w:rsidP="00373A41">
      <w:pPr>
        <w:rPr>
          <w:sz w:val="23"/>
          <w:szCs w:val="23"/>
        </w:rPr>
      </w:pPr>
      <w:r w:rsidRPr="00373A41">
        <w:rPr>
          <w:sz w:val="23"/>
          <w:szCs w:val="23"/>
          <w:highlight w:val="cyan"/>
        </w:rPr>
        <w:t>The articles reviewed show that parents with a baby in the NICU deal with a great amount of stress.  This can lead to anxiety, depression, and/or PTSD.  It is important to note that</w:t>
      </w:r>
    </w:p>
    <w:p w14:paraId="0795D757" w14:textId="77777777" w:rsidR="00373A41" w:rsidRDefault="00373A41" w:rsidP="00AE68CD"/>
    <w:p w14:paraId="78CF0A07" w14:textId="7E46A2E7" w:rsidR="00AE68CD" w:rsidRDefault="00AE68CD" w:rsidP="00A513A5">
      <w:pPr>
        <w:spacing w:after="0pt" w:line="24pt" w:lineRule="auto"/>
        <w:jc w:val="center"/>
        <w:rPr>
          <w:rFonts w:asciiTheme="majorBidi" w:eastAsia="Times New Roman" w:hAnsiTheme="majorBidi" w:cstheme="majorBidi"/>
          <w:b/>
          <w:bCs/>
          <w:lang w:eastAsia="en-CA"/>
        </w:rPr>
      </w:pPr>
      <w:r w:rsidRPr="00AE68CD">
        <w:rPr>
          <w:rFonts w:asciiTheme="majorBidi" w:eastAsia="Times New Roman" w:hAnsiTheme="majorBidi" w:cstheme="majorBidi"/>
          <w:b/>
          <w:bCs/>
          <w:highlight w:val="yellow"/>
          <w:lang w:eastAsia="en-CA"/>
        </w:rPr>
        <w:t>FOLLOW THIS EXAMPLE</w:t>
      </w:r>
    </w:p>
    <w:p w14:paraId="76813065" w14:textId="77777777" w:rsidR="00AE68CD" w:rsidRDefault="00AE68CD" w:rsidP="00AE68CD">
      <w:pPr>
        <w:spacing w:after="0pt" w:line="24pt" w:lineRule="auto"/>
        <w:rPr>
          <w:rFonts w:asciiTheme="majorBidi" w:eastAsia="Times New Roman" w:hAnsiTheme="majorBidi" w:cstheme="majorBidi"/>
          <w:b/>
          <w:bCs/>
          <w:lang w:eastAsia="en-CA"/>
        </w:rPr>
      </w:pPr>
    </w:p>
    <w:p w14:paraId="4FC59107" w14:textId="35BEDF16" w:rsidR="00A513A5" w:rsidRPr="006325D9" w:rsidRDefault="00A513A5" w:rsidP="00A513A5">
      <w:pPr>
        <w:spacing w:after="0pt" w:line="24pt" w:lineRule="auto"/>
        <w:jc w:val="center"/>
        <w:rPr>
          <w:rFonts w:asciiTheme="majorBidi" w:eastAsia="Times New Roman" w:hAnsiTheme="majorBidi" w:cstheme="majorBidi"/>
          <w:lang w:eastAsia="en-CA"/>
        </w:rPr>
      </w:pPr>
      <w:r w:rsidRPr="006325D9">
        <w:rPr>
          <w:rFonts w:asciiTheme="majorBidi" w:eastAsia="Times New Roman" w:hAnsiTheme="majorBidi" w:cstheme="majorBidi"/>
          <w:b/>
          <w:bCs/>
          <w:lang w:eastAsia="en-CA"/>
        </w:rPr>
        <w:t>Initial Review of the Literature</w:t>
      </w:r>
    </w:p>
    <w:p w14:paraId="69598A2A" w14:textId="77777777" w:rsidR="00A513A5" w:rsidRPr="006325D9" w:rsidRDefault="00A513A5" w:rsidP="00A513A5">
      <w:pPr>
        <w:spacing w:after="0pt" w:line="24pt" w:lineRule="auto"/>
        <w:ind w:firstLine="36pt"/>
        <w:rPr>
          <w:rFonts w:asciiTheme="majorBidi" w:eastAsia="Times New Roman" w:hAnsiTheme="majorBidi" w:cstheme="majorBidi"/>
          <w:lang w:eastAsia="en-CA"/>
        </w:rPr>
      </w:pPr>
      <w:r w:rsidRPr="006325D9">
        <w:rPr>
          <w:rFonts w:asciiTheme="majorBidi" w:eastAsia="Times New Roman" w:hAnsiTheme="majorBidi" w:cstheme="majorBidi"/>
          <w:lang w:eastAsia="en-CA"/>
        </w:rPr>
        <w:t xml:space="preserve">A review of nursing and health related literature will be conducted to explore the benefit of lifestyle modification in diabetes patients using the following keywords both singularly and in multiple combinations: diabetes, </w:t>
      </w:r>
      <w:r w:rsidRPr="006325D9">
        <w:rPr>
          <w:rFonts w:asciiTheme="majorBidi" w:hAnsiTheme="majorBidi" w:cstheme="majorBidi"/>
        </w:rPr>
        <w:t xml:space="preserve">complications, education, lifestyle, and </w:t>
      </w:r>
      <w:r w:rsidRPr="006325D9">
        <w:rPr>
          <w:rFonts w:asciiTheme="majorBidi" w:eastAsia="Times New Roman" w:hAnsiTheme="majorBidi" w:cstheme="majorBidi"/>
          <w:lang w:eastAsia="en-CA"/>
        </w:rPr>
        <w:t>quality</w:t>
      </w:r>
      <w:r w:rsidRPr="006325D9">
        <w:rPr>
          <w:rFonts w:asciiTheme="majorBidi" w:hAnsiTheme="majorBidi" w:cstheme="majorBidi"/>
        </w:rPr>
        <w:t xml:space="preserve"> of</w:t>
      </w:r>
      <w:r w:rsidRPr="006325D9">
        <w:rPr>
          <w:rFonts w:asciiTheme="majorBidi" w:eastAsia="Times New Roman" w:hAnsiTheme="majorBidi" w:cstheme="majorBidi"/>
          <w:lang w:eastAsia="en-CA"/>
        </w:rPr>
        <w:t xml:space="preserve"> life. Databases searched, limited to the years 2016 and 2021, will include AMED, Alt Health Watch, CINAHL Plus with Full Text, and EBSCO. The search is limited to the years 2016 to 2021 to ensure that current evidence-based literature is reviewed and summarized for the purpose of this project. A summary of the review of the literature is presented. </w:t>
      </w:r>
    </w:p>
    <w:p w14:paraId="2B16582F" w14:textId="77777777" w:rsidR="00A513A5" w:rsidRPr="006325D9" w:rsidRDefault="00A513A5" w:rsidP="00A513A5">
      <w:pPr>
        <w:spacing w:after="0pt" w:line="24pt" w:lineRule="auto"/>
        <w:jc w:val="center"/>
        <w:rPr>
          <w:rFonts w:asciiTheme="majorBidi" w:hAnsiTheme="majorBidi" w:cstheme="majorBidi"/>
          <w:b/>
          <w:bCs/>
        </w:rPr>
      </w:pPr>
      <w:r w:rsidRPr="006325D9">
        <w:rPr>
          <w:rFonts w:asciiTheme="majorBidi" w:hAnsiTheme="majorBidi" w:cstheme="majorBidi"/>
          <w:b/>
          <w:bCs/>
        </w:rPr>
        <w:t>Prevalence of Diabetes</w:t>
      </w:r>
    </w:p>
    <w:p w14:paraId="1341BE45" w14:textId="77777777" w:rsidR="00A513A5" w:rsidRPr="006325D9" w:rsidRDefault="00A513A5" w:rsidP="00A513A5">
      <w:pPr>
        <w:spacing w:after="0pt" w:line="24pt" w:lineRule="auto"/>
        <w:ind w:firstLine="36pt"/>
        <w:rPr>
          <w:rFonts w:asciiTheme="majorBidi" w:eastAsia="Times New Roman" w:hAnsiTheme="majorBidi" w:cstheme="majorBidi"/>
          <w:lang w:eastAsia="en-CA"/>
        </w:rPr>
      </w:pPr>
      <w:r w:rsidRPr="006325D9">
        <w:rPr>
          <w:rFonts w:asciiTheme="majorBidi" w:eastAsia="Times New Roman" w:hAnsiTheme="majorBidi" w:cstheme="majorBidi"/>
          <w:lang w:eastAsia="en-CA"/>
        </w:rPr>
        <w:t xml:space="preserve">According to </w:t>
      </w:r>
      <w:proofErr w:type="spellStart"/>
      <w:r w:rsidRPr="006325D9">
        <w:rPr>
          <w:rFonts w:asciiTheme="majorBidi" w:eastAsia="Times New Roman" w:hAnsiTheme="majorBidi" w:cstheme="majorBidi"/>
          <w:lang w:eastAsia="en-CA"/>
        </w:rPr>
        <w:t>Abdoli</w:t>
      </w:r>
      <w:proofErr w:type="spellEnd"/>
      <w:r w:rsidRPr="006325D9">
        <w:rPr>
          <w:rFonts w:asciiTheme="majorBidi" w:eastAsia="Times New Roman" w:hAnsiTheme="majorBidi" w:cstheme="majorBidi"/>
          <w:lang w:eastAsia="en-CA"/>
        </w:rPr>
        <w:t xml:space="preserve"> et al. (2017), diabetes is the leading cause of death and disability worldwide as the number of the diabetes patients is increasing globally. In the study performed in Canada, more than 25% of elderly population have diabetes and seek health care attention (Lega et al., 2020).</w:t>
      </w:r>
      <w:r w:rsidRPr="006325D9">
        <w:rPr>
          <w:rFonts w:asciiTheme="majorBidi" w:hAnsiTheme="majorBidi" w:cstheme="majorBidi"/>
        </w:rPr>
        <w:t xml:space="preserve"> </w:t>
      </w:r>
      <w:r w:rsidRPr="006325D9">
        <w:rPr>
          <w:rFonts w:asciiTheme="majorBidi" w:eastAsia="Times New Roman" w:hAnsiTheme="majorBidi" w:cstheme="majorBidi"/>
          <w:lang w:eastAsia="en-CA"/>
        </w:rPr>
        <w:t xml:space="preserve">Nurses are the first line care providers that provide direct care to the patients. Nurses also deliver diabetes education and empower patients in control of their health status. Lega et al. (2020) have discussed </w:t>
      </w:r>
      <w:r>
        <w:rPr>
          <w:rFonts w:asciiTheme="majorBidi" w:eastAsia="Times New Roman" w:hAnsiTheme="majorBidi" w:cstheme="majorBidi"/>
          <w:lang w:eastAsia="en-CA"/>
        </w:rPr>
        <w:t>how</w:t>
      </w:r>
      <w:r w:rsidRPr="006325D9">
        <w:rPr>
          <w:rFonts w:asciiTheme="majorBidi" w:hAnsiTheme="majorBidi" w:cstheme="majorBidi"/>
        </w:rPr>
        <w:t xml:space="preserve"> educational intervention can effectively increase confidence and knowledge of frontline health care workers</w:t>
      </w:r>
      <w:r w:rsidRPr="006325D9">
        <w:rPr>
          <w:rFonts w:asciiTheme="majorBidi" w:eastAsia="Times New Roman" w:hAnsiTheme="majorBidi" w:cstheme="majorBidi"/>
          <w:lang w:eastAsia="en-CA"/>
        </w:rPr>
        <w:t xml:space="preserve"> in diabetes management.</w:t>
      </w:r>
      <w:r w:rsidRPr="006325D9">
        <w:rPr>
          <w:rFonts w:asciiTheme="majorBidi" w:eastAsia="Times New Roman" w:hAnsiTheme="majorBidi" w:cstheme="majorBidi"/>
          <w:b/>
          <w:bCs/>
          <w:lang w:eastAsia="en-CA"/>
        </w:rPr>
        <w:t xml:space="preserve"> </w:t>
      </w:r>
      <w:r w:rsidRPr="006325D9">
        <w:rPr>
          <w:rFonts w:asciiTheme="majorBidi" w:eastAsia="Times New Roman" w:hAnsiTheme="majorBidi" w:cstheme="majorBidi"/>
          <w:b/>
          <w:bCs/>
          <w:lang w:eastAsia="en-CA"/>
        </w:rPr>
        <w:softHyphen/>
      </w:r>
      <w:r w:rsidRPr="006325D9">
        <w:rPr>
          <w:rFonts w:asciiTheme="majorBidi" w:eastAsia="Times New Roman" w:hAnsiTheme="majorBidi" w:cstheme="majorBidi"/>
          <w:b/>
          <w:bCs/>
          <w:lang w:eastAsia="en-CA"/>
        </w:rPr>
        <w:softHyphen/>
      </w:r>
      <w:r w:rsidRPr="006325D9">
        <w:rPr>
          <w:rFonts w:asciiTheme="majorBidi" w:eastAsia="Times New Roman" w:hAnsiTheme="majorBidi" w:cstheme="majorBidi"/>
          <w:b/>
          <w:bCs/>
          <w:lang w:eastAsia="en-CA"/>
        </w:rPr>
        <w:softHyphen/>
      </w:r>
      <w:r w:rsidRPr="006325D9">
        <w:rPr>
          <w:rFonts w:asciiTheme="majorBidi" w:eastAsia="Times New Roman" w:hAnsiTheme="majorBidi" w:cstheme="majorBidi"/>
          <w:b/>
          <w:bCs/>
          <w:lang w:eastAsia="en-CA"/>
        </w:rPr>
        <w:softHyphen/>
      </w:r>
      <w:r w:rsidRPr="006325D9">
        <w:rPr>
          <w:rFonts w:asciiTheme="majorBidi" w:eastAsia="Times New Roman" w:hAnsiTheme="majorBidi" w:cstheme="majorBidi"/>
          <w:b/>
          <w:bCs/>
          <w:lang w:eastAsia="en-CA"/>
        </w:rPr>
        <w:softHyphen/>
      </w:r>
      <w:r w:rsidRPr="006325D9">
        <w:rPr>
          <w:rFonts w:asciiTheme="majorBidi" w:eastAsia="Times New Roman" w:hAnsiTheme="majorBidi" w:cstheme="majorBidi"/>
          <w:b/>
          <w:bCs/>
          <w:lang w:eastAsia="en-CA"/>
        </w:rPr>
        <w:softHyphen/>
      </w:r>
      <w:r w:rsidRPr="006325D9">
        <w:rPr>
          <w:rFonts w:asciiTheme="majorBidi" w:eastAsia="Times New Roman" w:hAnsiTheme="majorBidi" w:cstheme="majorBidi"/>
          <w:b/>
          <w:bCs/>
          <w:lang w:eastAsia="en-CA"/>
        </w:rPr>
        <w:softHyphen/>
      </w:r>
      <w:r w:rsidRPr="006325D9">
        <w:rPr>
          <w:rFonts w:asciiTheme="majorBidi" w:eastAsia="Times New Roman" w:hAnsiTheme="majorBidi" w:cstheme="majorBidi"/>
          <w:b/>
          <w:bCs/>
          <w:lang w:eastAsia="en-CA"/>
        </w:rPr>
        <w:softHyphen/>
      </w:r>
      <w:r w:rsidRPr="006325D9">
        <w:rPr>
          <w:rFonts w:asciiTheme="majorBidi" w:eastAsia="Times New Roman" w:hAnsiTheme="majorBidi" w:cstheme="majorBidi"/>
          <w:b/>
          <w:bCs/>
          <w:lang w:eastAsia="en-CA"/>
        </w:rPr>
        <w:softHyphen/>
      </w:r>
      <w:r w:rsidRPr="006325D9">
        <w:rPr>
          <w:rFonts w:asciiTheme="majorBidi" w:eastAsia="Times New Roman" w:hAnsiTheme="majorBidi" w:cstheme="majorBidi"/>
          <w:b/>
          <w:bCs/>
          <w:lang w:eastAsia="en-CA"/>
        </w:rPr>
        <w:softHyphen/>
      </w:r>
      <w:r w:rsidRPr="006325D9">
        <w:rPr>
          <w:rFonts w:asciiTheme="majorBidi" w:eastAsia="Times New Roman" w:hAnsiTheme="majorBidi" w:cstheme="majorBidi"/>
          <w:b/>
          <w:bCs/>
          <w:lang w:eastAsia="en-CA"/>
        </w:rPr>
        <w:softHyphen/>
      </w:r>
      <w:r w:rsidRPr="006325D9">
        <w:rPr>
          <w:rFonts w:asciiTheme="majorBidi" w:eastAsia="Times New Roman" w:hAnsiTheme="majorBidi" w:cstheme="majorBidi"/>
          <w:b/>
          <w:bCs/>
          <w:lang w:eastAsia="en-CA"/>
        </w:rPr>
        <w:softHyphen/>
      </w:r>
      <w:r w:rsidRPr="006325D9">
        <w:rPr>
          <w:rFonts w:asciiTheme="majorBidi" w:eastAsia="Times New Roman" w:hAnsiTheme="majorBidi" w:cstheme="majorBidi"/>
          <w:b/>
          <w:bCs/>
          <w:lang w:eastAsia="en-CA"/>
        </w:rPr>
        <w:softHyphen/>
      </w:r>
      <w:r w:rsidRPr="006325D9">
        <w:rPr>
          <w:rFonts w:asciiTheme="majorBidi" w:eastAsia="Times New Roman" w:hAnsiTheme="majorBidi" w:cstheme="majorBidi"/>
          <w:b/>
          <w:bCs/>
          <w:lang w:eastAsia="en-CA"/>
        </w:rPr>
        <w:softHyphen/>
      </w:r>
      <w:r w:rsidRPr="006325D9">
        <w:rPr>
          <w:rFonts w:asciiTheme="majorBidi" w:eastAsia="Times New Roman" w:hAnsiTheme="majorBidi" w:cstheme="majorBidi"/>
          <w:b/>
          <w:bCs/>
          <w:lang w:eastAsia="en-CA"/>
        </w:rPr>
        <w:softHyphen/>
      </w:r>
      <w:r w:rsidRPr="006325D9">
        <w:rPr>
          <w:rFonts w:asciiTheme="majorBidi" w:eastAsia="Times New Roman" w:hAnsiTheme="majorBidi" w:cstheme="majorBidi"/>
          <w:b/>
          <w:bCs/>
          <w:lang w:eastAsia="en-CA"/>
        </w:rPr>
        <w:softHyphen/>
      </w:r>
      <w:r w:rsidRPr="006325D9">
        <w:rPr>
          <w:rFonts w:asciiTheme="majorBidi" w:eastAsia="Times New Roman" w:hAnsiTheme="majorBidi" w:cstheme="majorBidi"/>
          <w:b/>
          <w:bCs/>
          <w:lang w:eastAsia="en-CA"/>
        </w:rPr>
        <w:softHyphen/>
      </w:r>
      <w:r w:rsidRPr="006325D9">
        <w:rPr>
          <w:rFonts w:asciiTheme="majorBidi" w:eastAsia="Times New Roman" w:hAnsiTheme="majorBidi" w:cstheme="majorBidi"/>
          <w:b/>
          <w:bCs/>
          <w:lang w:eastAsia="en-CA"/>
        </w:rPr>
        <w:softHyphen/>
      </w:r>
      <w:r w:rsidRPr="006325D9">
        <w:rPr>
          <w:rFonts w:asciiTheme="majorBidi" w:eastAsia="Times New Roman" w:hAnsiTheme="majorBidi" w:cstheme="majorBidi"/>
          <w:b/>
          <w:bCs/>
          <w:lang w:eastAsia="en-CA"/>
        </w:rPr>
        <w:softHyphen/>
      </w:r>
      <w:r w:rsidRPr="006325D9">
        <w:rPr>
          <w:rFonts w:asciiTheme="majorBidi" w:eastAsia="Times New Roman" w:hAnsiTheme="majorBidi" w:cstheme="majorBidi"/>
          <w:b/>
          <w:bCs/>
          <w:lang w:eastAsia="en-CA"/>
        </w:rPr>
        <w:softHyphen/>
      </w:r>
      <w:r w:rsidRPr="006325D9">
        <w:rPr>
          <w:rFonts w:asciiTheme="majorBidi" w:eastAsia="Times New Roman" w:hAnsiTheme="majorBidi" w:cstheme="majorBidi"/>
          <w:b/>
          <w:bCs/>
          <w:lang w:eastAsia="en-CA"/>
        </w:rPr>
        <w:softHyphen/>
      </w:r>
      <w:r w:rsidRPr="006325D9">
        <w:rPr>
          <w:rFonts w:asciiTheme="majorBidi" w:eastAsia="Times New Roman" w:hAnsiTheme="majorBidi" w:cstheme="majorBidi"/>
          <w:b/>
          <w:bCs/>
          <w:lang w:eastAsia="en-CA"/>
        </w:rPr>
        <w:softHyphen/>
      </w:r>
      <w:r w:rsidRPr="006325D9">
        <w:rPr>
          <w:rFonts w:asciiTheme="majorBidi" w:eastAsia="Times New Roman" w:hAnsiTheme="majorBidi" w:cstheme="majorBidi"/>
          <w:b/>
          <w:bCs/>
          <w:lang w:eastAsia="en-CA"/>
        </w:rPr>
        <w:softHyphen/>
      </w:r>
    </w:p>
    <w:p w14:paraId="5C2D2393" w14:textId="77777777" w:rsidR="00A513A5" w:rsidRPr="006325D9" w:rsidRDefault="00A513A5" w:rsidP="00A513A5">
      <w:pPr>
        <w:spacing w:after="0pt" w:line="24pt" w:lineRule="auto"/>
        <w:ind w:firstLine="36pt"/>
        <w:rPr>
          <w:rFonts w:asciiTheme="majorBidi" w:eastAsia="Times New Roman" w:hAnsiTheme="majorBidi" w:cstheme="majorBidi"/>
          <w:lang w:eastAsia="en-CA"/>
        </w:rPr>
      </w:pPr>
      <w:r w:rsidRPr="006325D9">
        <w:rPr>
          <w:rFonts w:asciiTheme="majorBidi" w:eastAsia="Times New Roman" w:hAnsiTheme="majorBidi" w:cstheme="majorBidi"/>
          <w:lang w:eastAsia="en-CA"/>
        </w:rPr>
        <w:lastRenderedPageBreak/>
        <w:t xml:space="preserve">The Canadian research performed by Brathwaite &amp; </w:t>
      </w:r>
      <w:proofErr w:type="spellStart"/>
      <w:r w:rsidRPr="006325D9">
        <w:rPr>
          <w:rFonts w:asciiTheme="majorBidi" w:eastAsia="Times New Roman" w:hAnsiTheme="majorBidi" w:cstheme="majorBidi"/>
          <w:lang w:eastAsia="en-CA"/>
        </w:rPr>
        <w:t>Lemonde</w:t>
      </w:r>
      <w:proofErr w:type="spellEnd"/>
      <w:r w:rsidRPr="006325D9">
        <w:rPr>
          <w:rFonts w:asciiTheme="majorBidi" w:eastAsia="Times New Roman" w:hAnsiTheme="majorBidi" w:cstheme="majorBidi"/>
          <w:lang w:eastAsia="en-CA"/>
        </w:rPr>
        <w:t xml:space="preserve"> (2017) revealed the prevalence rate of diabetes is higher in ethnic minority immigrants compared to non-immigrants of European descent. In a similar way, Brown et al. (2018) and Concha et al. (2016) found the diabetes prevalence in the Hispanic population was significantly higher than non-Hispanic Whites. Moreover, </w:t>
      </w:r>
      <w:proofErr w:type="spellStart"/>
      <w:r w:rsidRPr="006325D9">
        <w:rPr>
          <w:rFonts w:asciiTheme="majorBidi" w:eastAsia="Times New Roman" w:hAnsiTheme="majorBidi" w:cstheme="majorBidi"/>
          <w:lang w:eastAsia="en-CA"/>
        </w:rPr>
        <w:t>Sumlin</w:t>
      </w:r>
      <w:proofErr w:type="spellEnd"/>
      <w:r w:rsidRPr="006325D9">
        <w:rPr>
          <w:rFonts w:asciiTheme="majorBidi" w:eastAsia="Times New Roman" w:hAnsiTheme="majorBidi" w:cstheme="majorBidi"/>
          <w:lang w:eastAsia="en-CA"/>
        </w:rPr>
        <w:t xml:space="preserve"> &amp; Brown (2017) </w:t>
      </w:r>
      <w:r>
        <w:rPr>
          <w:rFonts w:asciiTheme="majorBidi" w:eastAsia="Times New Roman" w:hAnsiTheme="majorBidi" w:cstheme="majorBidi"/>
          <w:lang w:eastAsia="en-CA"/>
        </w:rPr>
        <w:t>reported</w:t>
      </w:r>
      <w:r w:rsidRPr="006325D9">
        <w:rPr>
          <w:rFonts w:asciiTheme="majorBidi" w:eastAsia="Times New Roman" w:hAnsiTheme="majorBidi" w:cstheme="majorBidi"/>
          <w:lang w:eastAsia="en-CA"/>
        </w:rPr>
        <w:t xml:space="preserve"> American adults were nearly twice as likely as Caucasian adults to develop </w:t>
      </w:r>
      <w:r w:rsidRPr="006325D9">
        <w:rPr>
          <w:rFonts w:asciiTheme="majorBidi" w:hAnsiTheme="majorBidi" w:cstheme="majorBidi"/>
          <w:lang w:val="en-US"/>
        </w:rPr>
        <w:t>T2D</w:t>
      </w:r>
      <w:r>
        <w:rPr>
          <w:rFonts w:asciiTheme="majorBidi" w:eastAsia="Times New Roman" w:hAnsiTheme="majorBidi" w:cstheme="majorBidi"/>
          <w:lang w:eastAsia="en-CA"/>
        </w:rPr>
        <w:t>;</w:t>
      </w:r>
      <w:r w:rsidRPr="006325D9">
        <w:rPr>
          <w:rFonts w:asciiTheme="majorBidi" w:eastAsia="Times New Roman" w:hAnsiTheme="majorBidi" w:cstheme="majorBidi"/>
          <w:lang w:eastAsia="en-CA"/>
        </w:rPr>
        <w:t xml:space="preserve"> Lee et al. (2016) asserted that the prevalence of diagnosed </w:t>
      </w:r>
      <w:r w:rsidRPr="006325D9">
        <w:rPr>
          <w:rFonts w:asciiTheme="majorBidi" w:hAnsiTheme="majorBidi" w:cstheme="majorBidi"/>
          <w:lang w:val="en-US"/>
        </w:rPr>
        <w:t>T2D</w:t>
      </w:r>
      <w:r w:rsidRPr="006325D9">
        <w:rPr>
          <w:rFonts w:asciiTheme="majorBidi" w:eastAsia="Times New Roman" w:hAnsiTheme="majorBidi" w:cstheme="majorBidi"/>
          <w:lang w:eastAsia="en-CA"/>
        </w:rPr>
        <w:t xml:space="preserve"> was 77% higher in non-Hispanic blacks than in the white population. </w:t>
      </w:r>
    </w:p>
    <w:p w14:paraId="4ABA9552" w14:textId="77777777" w:rsidR="00A513A5" w:rsidRPr="006325D9" w:rsidRDefault="00A513A5" w:rsidP="00A513A5">
      <w:pPr>
        <w:spacing w:after="0pt" w:line="24pt" w:lineRule="auto"/>
        <w:rPr>
          <w:rFonts w:asciiTheme="majorBidi" w:eastAsia="Times New Roman" w:hAnsiTheme="majorBidi" w:cstheme="majorBidi"/>
          <w:b/>
          <w:bCs/>
          <w:lang w:eastAsia="en-CA"/>
        </w:rPr>
      </w:pPr>
      <w:r>
        <w:rPr>
          <w:rFonts w:asciiTheme="majorBidi" w:eastAsia="Times New Roman" w:hAnsiTheme="majorBidi" w:cstheme="majorBidi"/>
          <w:lang w:eastAsia="en-CA"/>
        </w:rPr>
        <w:tab/>
      </w:r>
      <w:r w:rsidRPr="006325D9">
        <w:rPr>
          <w:rFonts w:asciiTheme="majorBidi" w:eastAsia="Times New Roman" w:hAnsiTheme="majorBidi" w:cstheme="majorBidi"/>
          <w:lang w:eastAsia="en-CA"/>
        </w:rPr>
        <w:t xml:space="preserve">As the largest group of healthcare providers in the U.S. health care systems, nurses spend lots of </w:t>
      </w:r>
      <w:r>
        <w:rPr>
          <w:rFonts w:asciiTheme="majorBidi" w:eastAsia="Times New Roman" w:hAnsiTheme="majorBidi" w:cstheme="majorBidi"/>
          <w:lang w:eastAsia="en-CA"/>
        </w:rPr>
        <w:t xml:space="preserve">time </w:t>
      </w:r>
      <w:r w:rsidRPr="006325D9">
        <w:rPr>
          <w:rFonts w:asciiTheme="majorBidi" w:eastAsia="Times New Roman" w:hAnsiTheme="majorBidi" w:cstheme="majorBidi"/>
          <w:lang w:eastAsia="en-CA"/>
        </w:rPr>
        <w:t>with the patients than any other health care professional (</w:t>
      </w:r>
      <w:proofErr w:type="spellStart"/>
      <w:r w:rsidRPr="006325D9">
        <w:rPr>
          <w:rFonts w:asciiTheme="majorBidi" w:eastAsia="Times New Roman" w:hAnsiTheme="majorBidi" w:cstheme="majorBidi"/>
          <w:lang w:eastAsia="en-CA"/>
        </w:rPr>
        <w:t>Mokel</w:t>
      </w:r>
      <w:proofErr w:type="spellEnd"/>
      <w:r w:rsidRPr="006325D9">
        <w:rPr>
          <w:rFonts w:asciiTheme="majorBidi" w:eastAsia="Times New Roman" w:hAnsiTheme="majorBidi" w:cstheme="majorBidi"/>
          <w:lang w:eastAsia="en-CA"/>
        </w:rPr>
        <w:t>, 2017). Simultaneously, an increasingly diverse and multi-cultural society requires that nurses achieve a capacity to provide culturally congruent and ethical care to health care consumers (</w:t>
      </w:r>
      <w:proofErr w:type="spellStart"/>
      <w:r w:rsidRPr="006325D9">
        <w:rPr>
          <w:rFonts w:asciiTheme="majorBidi" w:eastAsia="Times New Roman" w:hAnsiTheme="majorBidi" w:cstheme="majorBidi"/>
          <w:lang w:eastAsia="en-CA"/>
        </w:rPr>
        <w:t>Mokel</w:t>
      </w:r>
      <w:proofErr w:type="spellEnd"/>
      <w:r w:rsidRPr="006325D9">
        <w:rPr>
          <w:rFonts w:asciiTheme="majorBidi" w:eastAsia="Times New Roman" w:hAnsiTheme="majorBidi" w:cstheme="majorBidi"/>
          <w:lang w:eastAsia="en-CA"/>
        </w:rPr>
        <w:t xml:space="preserve">, 2017).  </w:t>
      </w:r>
      <w:proofErr w:type="spellStart"/>
      <w:r w:rsidRPr="006325D9">
        <w:rPr>
          <w:rFonts w:asciiTheme="majorBidi" w:eastAsia="Times New Roman" w:hAnsiTheme="majorBidi" w:cstheme="majorBidi"/>
          <w:lang w:eastAsia="en-CA"/>
        </w:rPr>
        <w:t>Libman</w:t>
      </w:r>
      <w:proofErr w:type="spellEnd"/>
      <w:r w:rsidRPr="006325D9">
        <w:rPr>
          <w:rFonts w:asciiTheme="majorBidi" w:eastAsia="Times New Roman" w:hAnsiTheme="majorBidi" w:cstheme="majorBidi"/>
          <w:lang w:eastAsia="en-CA"/>
        </w:rPr>
        <w:t xml:space="preserve"> et al. (2017) emphasize appropriate initial and ongoing nursing education and training to enhance nursing knowledge and improve nurses’ ability to practice competently within their scope of practice (</w:t>
      </w:r>
      <w:proofErr w:type="spellStart"/>
      <w:r w:rsidRPr="006325D9">
        <w:rPr>
          <w:rFonts w:asciiTheme="majorBidi" w:eastAsia="Times New Roman" w:hAnsiTheme="majorBidi" w:cstheme="majorBidi"/>
          <w:lang w:eastAsia="en-CA"/>
        </w:rPr>
        <w:t>Libman</w:t>
      </w:r>
      <w:proofErr w:type="spellEnd"/>
      <w:r w:rsidRPr="006325D9">
        <w:rPr>
          <w:rFonts w:asciiTheme="majorBidi" w:eastAsia="Times New Roman" w:hAnsiTheme="majorBidi" w:cstheme="majorBidi"/>
          <w:lang w:eastAsia="en-CA"/>
        </w:rPr>
        <w:t xml:space="preserve"> et al., 2017). Additionally, because of a rapid increase in the United States’ Hispanic population, the United States needs more nurses to provide culturally competent care to that population. Nurses need to spend time with the patients to create an acceptable nurse–patient interaction, to get more familiar with their culture to deliver safe care (Sobel &amp; Metzler </w:t>
      </w:r>
      <w:proofErr w:type="spellStart"/>
      <w:r w:rsidRPr="006325D9">
        <w:rPr>
          <w:rFonts w:asciiTheme="majorBidi" w:eastAsia="Times New Roman" w:hAnsiTheme="majorBidi" w:cstheme="majorBidi"/>
          <w:lang w:eastAsia="en-CA"/>
        </w:rPr>
        <w:t>Sawin</w:t>
      </w:r>
      <w:proofErr w:type="spellEnd"/>
      <w:r w:rsidRPr="006325D9">
        <w:rPr>
          <w:rFonts w:asciiTheme="majorBidi" w:eastAsia="Times New Roman" w:hAnsiTheme="majorBidi" w:cstheme="majorBidi"/>
          <w:lang w:eastAsia="en-CA"/>
        </w:rPr>
        <w:t xml:space="preserve">, 2016). </w:t>
      </w:r>
      <w:r w:rsidRPr="006325D9">
        <w:rPr>
          <w:rFonts w:asciiTheme="majorBidi" w:eastAsia="Times New Roman" w:hAnsiTheme="majorBidi" w:cstheme="majorBidi"/>
          <w:b/>
          <w:bCs/>
          <w:lang w:eastAsia="en-CA"/>
        </w:rPr>
        <w:t xml:space="preserve"> </w:t>
      </w:r>
    </w:p>
    <w:p w14:paraId="72FF393C" w14:textId="77777777" w:rsidR="00A513A5" w:rsidRPr="006325D9" w:rsidRDefault="00A513A5" w:rsidP="00A513A5">
      <w:pPr>
        <w:spacing w:after="0pt" w:line="24pt" w:lineRule="auto"/>
        <w:jc w:val="center"/>
        <w:rPr>
          <w:rFonts w:asciiTheme="majorBidi" w:eastAsia="Times New Roman" w:hAnsiTheme="majorBidi" w:cstheme="majorBidi"/>
          <w:b/>
          <w:bCs/>
          <w:lang w:eastAsia="en-CA"/>
        </w:rPr>
      </w:pPr>
      <w:r w:rsidRPr="006325D9">
        <w:rPr>
          <w:rFonts w:asciiTheme="majorBidi" w:eastAsia="Times New Roman" w:hAnsiTheme="majorBidi" w:cstheme="majorBidi"/>
          <w:b/>
          <w:bCs/>
          <w:lang w:eastAsia="en-CA"/>
        </w:rPr>
        <w:t>Diabetes Complications</w:t>
      </w:r>
    </w:p>
    <w:p w14:paraId="4443B9D1" w14:textId="77777777" w:rsidR="00A513A5" w:rsidRPr="006325D9" w:rsidRDefault="00A513A5" w:rsidP="00A513A5">
      <w:pPr>
        <w:spacing w:after="0pt" w:line="24pt" w:lineRule="auto"/>
        <w:ind w:firstLine="36pt"/>
        <w:rPr>
          <w:rFonts w:asciiTheme="majorBidi" w:eastAsia="Times New Roman" w:hAnsiTheme="majorBidi" w:cstheme="majorBidi"/>
          <w:lang w:eastAsia="en-CA"/>
        </w:rPr>
      </w:pPr>
      <w:r w:rsidRPr="006325D9">
        <w:rPr>
          <w:rFonts w:asciiTheme="majorBidi" w:hAnsiTheme="majorBidi" w:cstheme="majorBidi"/>
          <w:lang w:val="en-US"/>
        </w:rPr>
        <w:t>T2D</w:t>
      </w:r>
      <w:r w:rsidRPr="006325D9">
        <w:rPr>
          <w:rFonts w:asciiTheme="majorBidi" w:eastAsia="Times New Roman" w:hAnsiTheme="majorBidi" w:cstheme="majorBidi"/>
          <w:lang w:eastAsia="en-CA"/>
        </w:rPr>
        <w:t>, as the seventh leading cause of death in the United States, can lead to numerous potentially life-threatening complications, such as chronic kidney disease, coronary artery disease, congestive heart failure, stroke, foot problems, and last but not least, eye damage (</w:t>
      </w:r>
      <w:proofErr w:type="spellStart"/>
      <w:r w:rsidRPr="006325D9">
        <w:rPr>
          <w:rFonts w:asciiTheme="majorBidi" w:eastAsia="Times New Roman" w:hAnsiTheme="majorBidi" w:cstheme="majorBidi"/>
          <w:lang w:eastAsia="en-CA"/>
        </w:rPr>
        <w:t>Scarton</w:t>
      </w:r>
      <w:proofErr w:type="spellEnd"/>
      <w:r w:rsidRPr="006325D9">
        <w:rPr>
          <w:rFonts w:asciiTheme="majorBidi" w:eastAsia="Times New Roman" w:hAnsiTheme="majorBidi" w:cstheme="majorBidi"/>
          <w:lang w:eastAsia="en-CA"/>
        </w:rPr>
        <w:t xml:space="preserve"> et al., 2016). One of the most common and serious microvascular complications of </w:t>
      </w:r>
      <w:r w:rsidRPr="006325D9">
        <w:rPr>
          <w:rFonts w:asciiTheme="majorBidi" w:eastAsia="Times New Roman" w:hAnsiTheme="majorBidi" w:cstheme="majorBidi"/>
          <w:lang w:eastAsia="en-CA"/>
        </w:rPr>
        <w:lastRenderedPageBreak/>
        <w:t xml:space="preserve">diabetes is diabetic neuropathy. Woody (2020) has revealed diabetes neuropathy results in deterioration in proprioception, vibratory perception, temperature perception, and pressure sensation. It is the leading causative factor in developing foot ulceration, infection, and subsequent amputation (Woody, 2020). Interactive self-foot examination education for all patients with diabetes by health care providers is highly recommended (Branch &amp; Lindholm, 2020). Health care providers need to use current evidence-based literature and guidelines to promote diabetes self-management, including daily foot examinations, including nail and skin care, footwear, and foot deformities. Consequently, patients, their families, and society can recognize the benefits of effective diabetic education (Branch &amp; Lindholm, 2020). </w:t>
      </w:r>
      <w:r>
        <w:rPr>
          <w:rFonts w:asciiTheme="majorBidi" w:eastAsia="Times New Roman" w:hAnsiTheme="majorBidi" w:cstheme="majorBidi"/>
          <w:lang w:eastAsia="en-CA"/>
        </w:rPr>
        <w:t xml:space="preserve">In their research </w:t>
      </w:r>
      <w:r w:rsidRPr="00A54AA5">
        <w:rPr>
          <w:rFonts w:asciiTheme="majorBidi" w:eastAsia="Times New Roman" w:hAnsiTheme="majorBidi" w:cstheme="majorBidi"/>
          <w:lang w:eastAsia="en-CA"/>
        </w:rPr>
        <w:t xml:space="preserve">Branch and Lindholm (2020) emphasized the importance of the patient's </w:t>
      </w:r>
      <w:r w:rsidRPr="006325D9">
        <w:rPr>
          <w:rFonts w:asciiTheme="majorBidi" w:eastAsia="Times New Roman" w:hAnsiTheme="majorBidi" w:cstheme="majorBidi"/>
          <w:lang w:eastAsia="en-CA"/>
        </w:rPr>
        <w:t xml:space="preserve">peripheral neuropathy assessment at the initial diagnosis of diabetes and every visit after that. </w:t>
      </w:r>
    </w:p>
    <w:p w14:paraId="753C6D0D" w14:textId="77777777" w:rsidR="00A513A5" w:rsidRPr="006325D9" w:rsidRDefault="00A513A5" w:rsidP="00A513A5">
      <w:pPr>
        <w:spacing w:after="0pt" w:line="24pt" w:lineRule="auto"/>
        <w:ind w:firstLine="36pt"/>
        <w:rPr>
          <w:rFonts w:asciiTheme="majorBidi" w:eastAsia="Times New Roman" w:hAnsiTheme="majorBidi" w:cstheme="majorBidi"/>
          <w:lang w:eastAsia="en-CA"/>
        </w:rPr>
      </w:pPr>
      <w:r w:rsidRPr="006325D9">
        <w:rPr>
          <w:rFonts w:asciiTheme="majorBidi" w:eastAsia="Times New Roman" w:hAnsiTheme="majorBidi" w:cstheme="majorBidi"/>
          <w:lang w:eastAsia="en-CA"/>
        </w:rPr>
        <w:t xml:space="preserve">Diabetes increases the risk for cognitive impairment, and individuals with T2D are at higher risk for developing cognitive dysfunction than the general population (Cuevas et al., 2019). In a similar way, in a cross-sectional study conducted by </w:t>
      </w:r>
      <w:proofErr w:type="spellStart"/>
      <w:r w:rsidRPr="006325D9">
        <w:rPr>
          <w:rFonts w:asciiTheme="majorBidi" w:eastAsia="Times New Roman" w:hAnsiTheme="majorBidi" w:cstheme="majorBidi"/>
          <w:lang w:eastAsia="en-CA"/>
        </w:rPr>
        <w:t>Mimenza</w:t>
      </w:r>
      <w:proofErr w:type="spellEnd"/>
      <w:r w:rsidRPr="006325D9">
        <w:rPr>
          <w:rFonts w:asciiTheme="majorBidi" w:eastAsia="Times New Roman" w:hAnsiTheme="majorBidi" w:cstheme="majorBidi"/>
          <w:lang w:eastAsia="en-CA"/>
        </w:rPr>
        <w:t xml:space="preserve">-Aguilar et al. (2020) in individuals aged 60 years or elderly participating in the Mexican Health and Aging Study, researchers found poor glycemic control (HbA1c ≥ 8%) was associated with worse cognitive performance. Although the exact mechanism of cognitive changes in T2DM is unclear, it is believed that insulin resistance, fluctuations in blood sugar, and an imbalance between free radicals and antioxidants contribute to detrimental changes (Cuevas et al., 2019). Nurses need to identify patients at risk for complications and provide symptom management intervention to prevent further deterioration (Cuevas et al., 2019). Therefore, it is necessary that health care providers screen the patients with T2D for cognitive dysfunction through their initial visit and continue to evaluate cognition during the follow-up visits. </w:t>
      </w:r>
    </w:p>
    <w:p w14:paraId="2A307BAB" w14:textId="77777777" w:rsidR="00A513A5" w:rsidRPr="006325D9" w:rsidRDefault="00A513A5" w:rsidP="00A513A5">
      <w:pPr>
        <w:spacing w:after="0pt" w:line="24pt" w:lineRule="auto"/>
        <w:ind w:firstLine="36pt"/>
        <w:rPr>
          <w:rFonts w:asciiTheme="majorBidi" w:eastAsia="Times New Roman" w:hAnsiTheme="majorBidi" w:cstheme="majorBidi"/>
          <w:lang w:eastAsia="en-CA"/>
        </w:rPr>
      </w:pPr>
      <w:r w:rsidRPr="006325D9">
        <w:rPr>
          <w:rFonts w:asciiTheme="majorBidi" w:eastAsia="Times New Roman" w:hAnsiTheme="majorBidi" w:cstheme="majorBidi"/>
          <w:lang w:eastAsia="en-CA"/>
        </w:rPr>
        <w:lastRenderedPageBreak/>
        <w:t>Diabetes Patients have significant differences in the quality-of-life effects of complications such as kidney failure, cardiovascular disease, peripheral arterial disease, and infections, and their treatments related to their condition. In addition, early identification, relevant patient education in disease management, and appropriate treatment of complications directly affect the quality of life.</w:t>
      </w:r>
    </w:p>
    <w:p w14:paraId="210510FC" w14:textId="77777777" w:rsidR="00A513A5" w:rsidRPr="006325D9" w:rsidRDefault="00A513A5" w:rsidP="00A513A5">
      <w:pPr>
        <w:spacing w:after="0pt" w:line="24pt" w:lineRule="auto"/>
        <w:jc w:val="center"/>
        <w:rPr>
          <w:rFonts w:asciiTheme="majorBidi" w:eastAsia="Times New Roman" w:hAnsiTheme="majorBidi" w:cstheme="majorBidi"/>
          <w:b/>
          <w:bCs/>
          <w:lang w:eastAsia="en-CA"/>
        </w:rPr>
      </w:pPr>
      <w:r w:rsidRPr="006325D9">
        <w:rPr>
          <w:rFonts w:asciiTheme="majorBidi" w:eastAsia="Times New Roman" w:hAnsiTheme="majorBidi" w:cstheme="majorBidi"/>
          <w:b/>
          <w:bCs/>
          <w:lang w:eastAsia="en-CA"/>
        </w:rPr>
        <w:t>Diabetes Self-Management</w:t>
      </w:r>
    </w:p>
    <w:p w14:paraId="5A69606C" w14:textId="77777777" w:rsidR="00507ABA" w:rsidRDefault="00A513A5" w:rsidP="00A513A5">
      <w:pPr>
        <w:spacing w:after="0pt" w:line="24pt" w:lineRule="auto"/>
      </w:pPr>
      <w:r w:rsidRPr="006325D9">
        <w:rPr>
          <w:rFonts w:asciiTheme="majorBidi" w:hAnsiTheme="majorBidi" w:cstheme="majorBidi"/>
        </w:rPr>
        <w:t>Diabetes is a complex multifactorial disease characterized by abnormally high blood sugar, which leads to many disorders. Hyperglycemia is a cause for an increase in HbA1C, reflecting the patient's diabetes and risk factors for complications (</w:t>
      </w:r>
      <w:proofErr w:type="spellStart"/>
      <w:r w:rsidRPr="006325D9">
        <w:rPr>
          <w:rFonts w:asciiTheme="majorBidi" w:hAnsiTheme="majorBidi" w:cstheme="majorBidi"/>
        </w:rPr>
        <w:t>Andleeb</w:t>
      </w:r>
      <w:proofErr w:type="spellEnd"/>
      <w:r w:rsidRPr="006325D9">
        <w:rPr>
          <w:rFonts w:asciiTheme="majorBidi" w:hAnsiTheme="majorBidi" w:cstheme="majorBidi"/>
        </w:rPr>
        <w:t xml:space="preserve"> et al., 2020). Diabetes self-management education is a culturally tailored strategy of promoting the essential knowledge and skills of diabetes patients to manage their condition (</w:t>
      </w:r>
      <w:r w:rsidRPr="006325D9">
        <w:rPr>
          <w:rFonts w:asciiTheme="majorBidi" w:eastAsia="Times New Roman" w:hAnsiTheme="majorBidi" w:cstheme="majorBidi"/>
          <w:lang w:eastAsia="en-CA"/>
        </w:rPr>
        <w:t>Brown et al., 2018)</w:t>
      </w:r>
      <w:r w:rsidRPr="006325D9">
        <w:rPr>
          <w:rFonts w:asciiTheme="majorBidi" w:hAnsiTheme="majorBidi" w:cstheme="majorBidi"/>
        </w:rPr>
        <w:t>. While, the patients’ knowledge regarding basic principles of glycemic control is very poor (</w:t>
      </w:r>
      <w:proofErr w:type="spellStart"/>
      <w:r w:rsidRPr="006325D9">
        <w:rPr>
          <w:rFonts w:asciiTheme="majorBidi" w:hAnsiTheme="majorBidi" w:cstheme="majorBidi"/>
        </w:rPr>
        <w:t>Brunk</w:t>
      </w:r>
      <w:proofErr w:type="spellEnd"/>
      <w:r w:rsidRPr="006325D9">
        <w:rPr>
          <w:rFonts w:asciiTheme="majorBidi" w:hAnsiTheme="majorBidi" w:cstheme="majorBidi"/>
        </w:rPr>
        <w:t xml:space="preserve"> et al., 2017), nurses have a crucial role in diabetes self-management education and helping patients lower glycated hemoglobin (Hb A1C) and increase self-efficacy (Cuevas et al., 2019). In the same way, </w:t>
      </w:r>
      <w:proofErr w:type="spellStart"/>
      <w:r w:rsidRPr="006325D9">
        <w:rPr>
          <w:rFonts w:asciiTheme="majorBidi" w:hAnsiTheme="majorBidi" w:cstheme="majorBidi"/>
        </w:rPr>
        <w:t>Jutterström</w:t>
      </w:r>
      <w:proofErr w:type="spellEnd"/>
      <w:r w:rsidRPr="006325D9">
        <w:rPr>
          <w:rFonts w:asciiTheme="majorBidi" w:hAnsiTheme="majorBidi" w:cstheme="majorBidi"/>
        </w:rPr>
        <w:t xml:space="preserve"> et al. (2016) revealed patient-centered self-management support, which nurses lead, can decrease HbA1c in T2D. Furthermore, the researchers emphasized individual support and group support to achieve the best result (</w:t>
      </w:r>
      <w:proofErr w:type="spellStart"/>
      <w:r w:rsidRPr="006325D9">
        <w:rPr>
          <w:rFonts w:asciiTheme="majorBidi" w:hAnsiTheme="majorBidi" w:cstheme="majorBidi"/>
        </w:rPr>
        <w:t>Jutterström</w:t>
      </w:r>
      <w:proofErr w:type="spellEnd"/>
      <w:r w:rsidRPr="006325D9">
        <w:rPr>
          <w:rFonts w:asciiTheme="majorBidi" w:hAnsiTheme="majorBidi" w:cstheme="majorBidi"/>
        </w:rPr>
        <w:t xml:space="preserve"> et al., 2016). Strengthening</w:t>
      </w:r>
    </w:p>
    <w:sectPr w:rsidR="00507ABA">
      <w:pgSz w:w="612pt" w:h="792pt"/>
      <w:pgMar w:top="72pt" w:right="72pt" w:bottom="72pt" w:left="72pt" w:header="36pt" w:footer="36pt" w:gutter="0pt"/>
      <w:cols w:space="36pt"/>
      <w:docGrid w:linePitch="360"/>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characterSet="iso-8859-1"/>
    <w:family w:val="swiss"/>
    <w:pitch w:val="variable"/>
    <w:sig w:usb0="E4002EFF" w:usb1="C000247B" w:usb2="00000009" w:usb3="00000000" w:csb0="000001FF" w:csb1="00000000"/>
  </w:font>
  <w:font w:name="Times New Roman">
    <w:panose1 w:val="02020603050405020304"/>
    <w:charset w:characterSet="iso-8859-1"/>
    <w:family w:val="roman"/>
    <w:pitch w:val="variable"/>
    <w:sig w:usb0="E0002EFF" w:usb1="C000785B" w:usb2="00000009" w:usb3="00000000" w:csb0="000001FF" w:csb1="00000000"/>
  </w:font>
  <w:font w:name="Calibri Light">
    <w:panose1 w:val="020F0302020204030204"/>
    <w:charset w:characterSet="iso-8859-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pt"/>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3A5"/>
    <w:rsid w:val="00371C80"/>
    <w:rsid w:val="00373A41"/>
    <w:rsid w:val="00474ED7"/>
    <w:rsid w:val="00507ABA"/>
    <w:rsid w:val="009872AA"/>
    <w:rsid w:val="00A513A5"/>
    <w:rsid w:val="00A84E4D"/>
    <w:rsid w:val="00AE6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A4F785"/>
  <w15:chartTrackingRefBased/>
  <w15:docId w15:val="{227AB874-5F4E-4B14-A449-A2737BAF243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8pt" w:line="12.95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3A5"/>
    <w:rPr>
      <w:rFonts w:ascii="Times New Roman" w:hAnsi="Times New Roman"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Default">
    <w:name w:val="Default"/>
    <w:rsid w:val="00AE68CD"/>
    <w:pPr>
      <w:autoSpaceDE w:val="0"/>
      <w:autoSpaceDN w:val="0"/>
      <w:adjustRightInd w:val="0"/>
      <w:spacing w:after="0pt" w:line="12pt"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E68CD"/>
    <w:rPr>
      <w:color w:val="0563C1" w:themeColor="hyperlink"/>
      <w:u w:val="single"/>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purl.oclc.org/ooxml/officeDocument/relationships/webSettings" Target="webSettings.xml"/><Relationship Id="rId2" Type="http://purl.oclc.org/ooxml/officeDocument/relationships/settings" Target="settings.xml"/><Relationship Id="rId1" Type="http://purl.oclc.org/ooxml/officeDocument/relationships/styles" Target="styles.xml"/><Relationship Id="rId6" Type="http://purl.oclc.org/ooxml/officeDocument/relationships/theme" Target="theme/theme1.xml"/><Relationship Id="rId5" Type="http://purl.oclc.org/ooxml/officeDocument/relationships/fontTable" Target="fontTable.xml"/><Relationship Id="rId4" Type="http://purl.oclc.org/ooxml/officeDocument/relationships/hyperlink" Target="https://www.hopkinsmedicine.org/evidence-based-practice/_docs/appendix_c_evidence_level_quality_guide.pdf"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Template>
  <TotalTime>1</TotalTime>
  <Pages>5</Pages>
  <Words>1484</Words>
  <Characters>8464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DYouville</Company>
  <LinksUpToDate>false</LinksUpToDate>
  <CharactersWithSpaces>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Abigail Mitchell</dc:creator>
  <cp:keywords/>
  <dc:description/>
  <cp:lastModifiedBy>Akerele, Funmilola</cp:lastModifiedBy>
  <cp:revision>2</cp:revision>
  <dcterms:created xsi:type="dcterms:W3CDTF">2021-10-02T15:00:00Z</dcterms:created>
  <dcterms:modified xsi:type="dcterms:W3CDTF">2021-10-02T15:00:00Z</dcterms:modified>
</cp:coreProperties>
</file>