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word/stylesWithEffects.xml" ContentType="application/vnd.ms-word.stylesWithEffect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pPr>
        <w:pStyle w:val="Heading3"/>
        <w:jc w:val="center"/>
        <w:rPr>
          <w:sz w:val="24"/>
        </w:rPr>
      </w:pPr>
      <w:r>
        <w:rPr>
          <w:noProof/>
        </w:rPr>
        <w:pict>
          <v:shape type="#_x0000_t202" style="position:absolute;mso-wrap-distance-left:0.000000pt;mso-wrap-distance-right:0.000000pt;mso-wrap-distance-top:0.000000pt;mso-wrap-distance-bottom:0.000000pt;margin-left:4.850694in;margin-top:0.072917in;z-index:1;mso-position-horizontal:absolute;mso-position-horizontal-relative:column;mso-position-vertical:absolute;mso-position-vertical-relative:paragraph;height:0.611111in;width:2.822222in" filled="false">
            <v:textbox>
              <w:txbxContent>
                <w:p>
                  <w:pPr>
                    <w:pStyle w:val="Normal"/>
                    <w:jc w:val="right"/>
                    <w:rPr>
                      <w:b/>
                      <w:color w:val="FFFFFF"/>
                      <w:rFonts w:ascii="Arial" w:hAnsi="Arial"/>
                      <w:sz w:val="32"/>
                      <w:szCs w:val="36"/>
                    </w:rPr>
                  </w:pPr>
                  <w:r>
                    <w:rPr>
                      <w:b/>
                      <w:color w:val="FFFFFF"/>
                      <w:rFonts w:ascii="Arial" w:hAnsi="Arial"/>
                      <w:sz w:val="32"/>
                      <w:szCs w:val="36"/>
                    </w:rPr>
                    <w:t xml:space="preserve">Critical Appraisal </w:t>
                  </w:r>
                  <w:r>
                    <w:rPr>
                      <w:b/>
                      <w:color w:val="FFFFFF"/>
                      <w:rFonts w:ascii="Arial" w:hAnsi="Arial"/>
                      <w:sz w:val="32"/>
                      <w:szCs w:val="36"/>
                    </w:rPr>
                    <w:t>Tool</w:t>
                  </w:r>
                  <w:r>
                    <w:rPr>
                      <w:b/>
                      <w:color w:val="FFFFFF"/>
                      <w:rFonts w:ascii="Arial" w:hAnsi="Arial"/>
                      <w:sz w:val="32"/>
                      <w:szCs w:val="36"/>
                    </w:rPr>
                    <w:t xml:space="preserve"> </w:t>
                  </w:r>
                  <w:r>
                    <w:rPr>
                      <w:b/>
                      <w:color w:val="FFFFFF"/>
                      <w:rFonts w:ascii="Arial" w:hAnsi="Arial"/>
                      <w:sz w:val="32"/>
                      <w:szCs w:val="36"/>
                    </w:rPr>
                    <w:t>Worksheet</w:t>
                  </w:r>
                  <w:r>
                    <w:rPr>
                      <w:b/>
                      <w:color w:val="FFFFFF"/>
                      <w:rFonts w:ascii="Arial" w:hAnsi="Arial"/>
                      <w:sz w:val="32"/>
                      <w:szCs w:val="36"/>
                    </w:rPr>
                    <w:t xml:space="preserve"> Template</w:t>
                  </w:r>
                </w:p>
              </w:txbxContent>
            </v:textbox>
          </v:shape>
        </w:pict>
      </w:r>
      <w:r>
        <w:rPr>
          <w:noProof/>
        </w:rPr>
        <w:drawing>
          <wp:inline distT="0" distB="0" distL="0" distR="0">
            <wp:extent cx="5934075" cy="8191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7"/>
                    <a:stretch>
                      <a:fillRect/>
                    </a:stretch>
                  </pic:blipFill>
                  <pic:spPr bwMode="auto">
                    <a:xfrm>
                      <a:off x="0" y="0"/>
                      <a:ext cx="5934075" cy="819150"/>
                    </a:xfrm>
                    <a:prstGeom prst="rect">
                      <a:avLst/>
                    </a:prstGeom>
                    <a:noFill/>
                  </pic:spPr>
                </pic:pic>
              </a:graphicData>
            </a:graphic>
          </wp:inline>
        </w:drawing>
      </w:r>
    </w:p>
    <w:p>
      <w:pPr>
        <w:pStyle w:val="Heading3"/>
        <w:rPr>
          <w:sz w:val="24"/>
        </w:rPr>
      </w:pPr>
    </w:p>
    <w:p>
      <w:pPr>
        <w:pBdr>
          <w:bottom w:val="single" w:sz="6" w:color="000000" w:space="1"/>
        </w:pBdr>
        <w:pStyle w:val="Normal"/>
        <w:ind w:right="-720"/>
        <w:rPr>
          <w:b/>
          <w:rFonts w:ascii="Arial" w:hAnsi="Arial"/>
          <w:sz w:val="32"/>
        </w:rPr>
      </w:pPr>
      <w:r>
        <w:rPr>
          <w:b/>
          <w:rFonts w:ascii="Arial" w:hAnsi="Arial"/>
          <w:sz w:val="32"/>
        </w:rPr>
        <w:t>Evaluation Table</w:t>
      </w:r>
    </w:p>
    <w:p>
      <w:pPr>
        <w:pStyle w:val="Normal"/>
        <w:ind w:right="990"/>
        <w:rPr>
          <w:b/>
          <w:rFonts w:ascii="Arial" w:hAnsi="Arial"/>
          <w:sz w:val="32"/>
        </w:rPr>
      </w:pPr>
    </w:p>
    <w:p>
      <w:pPr>
        <w:pStyle w:val="Normal"/>
        <w:ind w:right="-810"/>
        <w:rPr>
          <w:rFonts w:ascii="Arial" w:hAnsi="Arial"/>
        </w:rPr>
      </w:pPr>
      <w:r>
        <w:rPr>
          <w:rFonts w:ascii="Arial" w:hAnsi="Arial"/>
        </w:rPr>
        <w:t>Use this document to complete</w:t>
      </w:r>
      <w:r>
        <w:rPr>
          <w:rFonts w:ascii="Arial" w:hAnsi="Arial"/>
        </w:rPr>
        <w:t xml:space="preserve"> the </w:t>
      </w:r>
      <w:r>
        <w:rPr>
          <w:b/>
          <w:i/>
          <w:rFonts w:ascii="Arial" w:hAnsi="Arial"/>
        </w:rPr>
        <w:t>evaluation table</w:t>
      </w:r>
      <w:r>
        <w:rPr>
          <w:rFonts w:ascii="Arial" w:hAnsi="Arial"/>
        </w:rPr>
        <w:t xml:space="preserve"> requirement of t</w:t>
      </w:r>
      <w:r>
        <w:rPr>
          <w:rFonts w:ascii="Arial" w:hAnsi="Arial"/>
        </w:rPr>
        <w:t xml:space="preserve">he Module </w:t>
      </w:r>
      <w:r>
        <w:rPr>
          <w:rFonts w:ascii="Arial" w:hAnsi="Arial"/>
        </w:rPr>
        <w:t>4</w:t>
      </w:r>
      <w:r>
        <w:rPr>
          <w:rFonts w:ascii="Arial" w:hAnsi="Arial"/>
        </w:rPr>
        <w:t xml:space="preserve"> Assessment</w:t>
      </w:r>
      <w:r>
        <w:rPr>
          <w:rFonts w:ascii="Arial" w:hAnsi="Arial"/>
        </w:rPr>
        <w:t>,</w:t>
      </w:r>
      <w:r>
        <w:rPr>
          <w:i/>
          <w:rFonts w:ascii="Arial" w:hAnsi="Arial"/>
        </w:rPr>
        <w:t xml:space="preserve"> </w:t>
      </w:r>
      <w:r>
        <w:rPr>
          <w:b/>
          <w:i/>
          <w:rFonts w:ascii="Arial" w:hAnsi="Arial"/>
        </w:rPr>
        <w:t>Evidence-</w:t>
      </w:r>
      <w:r>
        <w:rPr>
          <w:b/>
          <w:i/>
          <w:rFonts w:ascii="Arial" w:hAnsi="Arial"/>
        </w:rPr>
        <w:t>B</w:t>
      </w:r>
      <w:r>
        <w:rPr>
          <w:b/>
          <w:i/>
          <w:rFonts w:ascii="Arial" w:hAnsi="Arial"/>
        </w:rPr>
        <w:t>ased Project, Part 4</w:t>
      </w:r>
      <w:r>
        <w:rPr>
          <w:b/>
          <w:i/>
          <w:rFonts w:ascii="Arial" w:hAnsi="Arial"/>
        </w:rPr>
        <w:t>A</w:t>
      </w:r>
      <w:r>
        <w:rPr>
          <w:b/>
          <w:i/>
          <w:rFonts w:ascii="Arial" w:hAnsi="Arial"/>
        </w:rPr>
        <w:t>: Critical Appraisal of Research</w:t>
      </w:r>
    </w:p>
    <w:p>
      <w:pPr>
        <w:pStyle w:val="Normal"/>
        <w:rPr>
          <w:rFonts w:ascii="Arial" w:hAnsi="Arial"/>
        </w:rPr>
      </w:pPr>
    </w:p>
    <w:p>
      <w:pPr>
        <w:pStyle w:val="Normal"/>
        <w:rPr>
          <w:rFonts w:ascii="Arial" w:hAnsi="Arial"/>
        </w:rPr>
      </w:pPr>
    </w:p>
    <w:tbl>
      <w:tblPr>
        <w:tblBorders>
          <w:top w:val="single" w:sz="4" w:color="000000" w:space="0"/>
          <w:bottom w:val="single" w:sz="4" w:color="000000" w:space="0"/>
          <w:left w:val="single" w:sz="4" w:color="000000" w:space="0"/>
          <w:right w:val="single" w:sz="4" w:color="000000" w:space="0"/>
          <w:insideH w:val="single" w:sz="4" w:color="000000" w:space="0"/>
          <w:insideV w:val="single" w:sz="4" w:color="000000" w:space="0"/>
        </w:tblBorders>
        <w:tblStyle w:val="TableNormal"/>
        <w:tblLook w:val="4A0"/>
        <w:tblW w:w="13878" w:type="dxa"/>
      </w:tblPr>
      <w:tblGrid>
        <w:gridCol w:w="3528"/>
        <w:gridCol w:w="2610"/>
        <w:gridCol w:w="2790"/>
        <w:gridCol w:w="2610"/>
        <w:gridCol w:w="2340"/>
      </w:tblGrid>
      <w:tr>
        <w:tc>
          <w:tcPr>
            <w:shd w:fill="DEEAF6"/>
            <w:vAlign w:val="center"/>
            <w:vMerge w:val="restart"/>
            <w:tcW w:w="3528" w:type="dxa"/>
          </w:tcPr>
          <w:p>
            <w:pPr>
              <w:pStyle w:val="Normal"/>
            </w:pPr>
            <w:r>
              <w:rPr>
                <w:szCs w:val="20"/>
              </w:rPr>
              <w:t xml:space="preserve">Full </w:t>
            </w:r>
            <w:r>
              <w:rPr>
                <w:b/>
                <w:szCs w:val="20"/>
              </w:rPr>
              <w:t xml:space="preserve">APA formatted </w:t>
            </w:r>
            <w:r>
              <w:rPr>
                <w:b/>
                <w:szCs w:val="20"/>
              </w:rPr>
              <w:t>citation</w:t>
            </w:r>
            <w:r>
              <w:rPr>
                <w:szCs w:val="20"/>
              </w:rPr>
              <w:t xml:space="preserve"> of selected article</w:t>
            </w:r>
            <w:r>
              <w:rPr>
                <w:szCs w:val="20"/>
              </w:rPr>
              <w:t>.</w:t>
            </w:r>
          </w:p>
        </w:tc>
        <w:tc>
          <w:tcPr>
            <w:shd w:fill="AEAAAA"/>
            <w:vAlign w:val="top"/>
            <w:tcW w:w="2610" w:type="dxa"/>
          </w:tcPr>
          <w:p>
            <w:pPr>
              <w:pStyle w:val="Normal"/>
              <w:jc w:val="center"/>
            </w:pPr>
            <w:r>
              <w:rPr/>
              <w:t>Article #1</w:t>
            </w:r>
          </w:p>
        </w:tc>
        <w:tc>
          <w:tcPr>
            <w:shd w:fill="AEAAAA"/>
            <w:vAlign w:val="top"/>
            <w:tcW w:w="2790" w:type="dxa"/>
          </w:tcPr>
          <w:p>
            <w:pPr>
              <w:pStyle w:val="Normal"/>
              <w:jc w:val="center"/>
            </w:pPr>
            <w:r>
              <w:rPr/>
              <w:t>Article #2</w:t>
            </w:r>
          </w:p>
        </w:tc>
        <w:tc>
          <w:tcPr>
            <w:shd w:fill="AEAAAA"/>
            <w:vAlign w:val="top"/>
            <w:tcW w:w="2610" w:type="dxa"/>
          </w:tcPr>
          <w:p>
            <w:pPr>
              <w:pStyle w:val="Normal"/>
              <w:jc w:val="center"/>
            </w:pPr>
            <w:r>
              <w:rPr/>
              <w:t>Article #3</w:t>
            </w:r>
          </w:p>
        </w:tc>
        <w:tc>
          <w:tcPr>
            <w:shd w:fill="AEAAAA"/>
            <w:vAlign w:val="top"/>
            <w:tcW w:w="2340" w:type="dxa"/>
          </w:tcPr>
          <w:p>
            <w:pPr>
              <w:pStyle w:val="Normal"/>
              <w:jc w:val="center"/>
            </w:pPr>
            <w:r>
              <w:rPr/>
              <w:t>Article #4</w:t>
            </w:r>
          </w:p>
        </w:tc>
      </w:tr>
      <w:tr>
        <w:tc>
          <w:tcPr>
            <w:vMerge/>
          </w:tcPr>
          <w:p/>
        </w:tc>
        <w:tc>
          <w:tcPr>
            <w:shd w:fill="FFF2CC"/>
            <w:vAlign w:val="top"/>
            <w:tcW w:w="2610" w:type="dxa"/>
          </w:tcPr>
          <w:p>
            <w:pPr>
              <w:pStyle w:val="Normal"/>
            </w:pPr>
            <w:r>
              <w:t xml:space="preserve"> Et. al., I. (2021). Symptoms of depression among teenagers in malaysia. Turkish Journal of Computer and Mathematics Education (TURCOMAT), 12(2), 711–714. https://doi.org/10.17762/turcomat.v12i2.927</w:t>
            </w:r>
          </w:p>
          <w:p>
            <w:pPr>
              <w:pStyle w:val="Normal"/>
            </w:pPr>
            <w:r>
              <w:t xml:space="preserve"> </w:t>
            </w:r>
          </w:p>
          <w:p>
            <w:pPr>
              <w:pStyle w:val="Normal"/>
            </w:pPr>
            <w:r/>
          </w:p>
          <w:p>
            <w:pPr>
              <w:pStyle w:val="Normal"/>
            </w:pPr>
            <w:r/>
          </w:p>
        </w:tc>
        <w:tc>
          <w:tcPr>
            <w:shd w:fill="FFF2CC"/>
            <w:vAlign w:val="top"/>
            <w:tcW w:w="2790" w:type="dxa"/>
          </w:tcPr>
          <w:p>
            <w:pPr>
              <w:pStyle w:val="Normal"/>
            </w:pPr>
            <w:r>
              <w:t>Shoeb, S. M. (2019). Depression in indian teenagers; causes, symptoms &amp; suggestion. International Journal of Innovative Science and Research Technology, 4(6), 306–308. https://doi.org/https://ijisrt.com/wp-content/uploads/2019/06/IJISRT19JU171.pdf</w:t>
            </w:r>
          </w:p>
          <w:p>
            <w:pPr>
              <w:pStyle w:val="Normal"/>
            </w:pPr>
            <w:r/>
          </w:p>
          <w:p>
            <w:pPr>
              <w:pStyle w:val="Normal"/>
            </w:pPr>
            <w:r/>
          </w:p>
        </w:tc>
        <w:tc>
          <w:tcPr>
            <w:shd w:fill="FFF2CC"/>
            <w:vAlign w:val="top"/>
            <w:tcW w:w="2610" w:type="dxa"/>
          </w:tcPr>
          <w:p>
            <w:pPr>
              <w:pStyle w:val="Normal"/>
            </w:pPr>
            <w:r>
              <w:t>Shokrgozar, S., Khesht-Masjedi, M., Abdollahi, E., Habibi, B., Asghari, T., Ofoghi, R., &amp; Pazhooman, S. (2019). The relationship between gender, age, anxiety, depression, and academic achievement among teenagers. Journal of Family Medicine and Primary Care, 8(3), 799. https://doi.org/10.4103/jfmpc.jfmpc_103_18</w:t>
            </w:r>
          </w:p>
        </w:tc>
        <w:tc>
          <w:tcPr>
            <w:shd w:fill="FFF2CC"/>
            <w:vAlign w:val="top"/>
            <w:tcW w:w="2340" w:type="dxa"/>
          </w:tcPr>
          <w:p>
            <w:pPr>
              <w:pStyle w:val="Normal"/>
            </w:pPr>
            <w:r>
              <w:t xml:space="preserve"> Patton, G. C., Hibbert, M., Rosier, M. J., Carlin, J. B., Caust, J., &amp; Bowes, G. (1996). Is smoking associated with depression and anxiety in teenagers? American Journal of Public Health, 86(2), 225–230. https://doi.org/10.2105/ajph.86.2.225</w:t>
            </w:r>
          </w:p>
        </w:tc>
      </w:tr>
      <w:tr>
        <w:tc>
          <w:tcPr>
            <w:shd w:fill="DEEAF6"/>
            <w:vAlign w:val="top"/>
            <w:tcW w:w="3528" w:type="dxa"/>
          </w:tcPr>
          <w:p>
            <w:pPr>
              <w:pStyle w:val="Normal"/>
              <w:rPr>
                <w:b/>
                <w:i/>
                <w:rFonts w:ascii="Arial" w:hAnsi="Arial"/>
                <w:sz w:val="20"/>
              </w:rPr>
            </w:pPr>
            <w:r>
              <w:rPr>
                <w:b/>
                <w:i/>
                <w:rFonts w:ascii="Arial" w:hAnsi="Arial"/>
                <w:sz w:val="20"/>
              </w:rPr>
              <w:t>Evidence Level *</w:t>
            </w:r>
          </w:p>
          <w:p>
            <w:pPr>
              <w:pStyle w:val="Normal"/>
              <w:rPr>
                <w:b/>
                <w:i/>
                <w:rFonts w:ascii="Arial" w:hAnsi="Arial"/>
                <w:sz w:val="20"/>
              </w:rPr>
            </w:pPr>
            <w:r>
              <w:rPr>
                <w:i/>
                <w:rFonts w:ascii="Arial" w:hAnsi="Arial"/>
                <w:sz w:val="20"/>
              </w:rPr>
              <w:t>(I, II, or III)</w:t>
            </w:r>
          </w:p>
          <w:p>
            <w:pPr>
              <w:pStyle w:val="Normal"/>
            </w:pPr>
          </w:p>
        </w:tc>
        <w:tc>
          <w:tcPr>
            <w:vAlign w:val="top"/>
            <w:tcW w:w="2610" w:type="dxa"/>
          </w:tcPr>
          <w:p>
            <w:pPr>
              <w:pStyle w:val="Normal"/>
            </w:pPr>
            <w:r>
              <w:t>v</w:t>
            </w:r>
          </w:p>
        </w:tc>
        <w:tc>
          <w:tcPr>
            <w:vAlign w:val="top"/>
            <w:tcW w:w="2790" w:type="dxa"/>
          </w:tcPr>
          <w:p>
            <w:pPr>
              <w:pStyle w:val="Normal"/>
            </w:pPr>
          </w:p>
        </w:tc>
        <w:tc>
          <w:tcPr>
            <w:vAlign w:val="top"/>
            <w:tcW w:w="2610" w:type="dxa"/>
          </w:tcPr>
          <w:p>
            <w:pPr>
              <w:pStyle w:val="Normal"/>
            </w:pPr>
          </w:p>
        </w:tc>
        <w:tc>
          <w:tcPr>
            <w:vAlign w:val="top"/>
            <w:tcW w:w="2340" w:type="dxa"/>
          </w:tcPr>
          <w:p>
            <w:pPr>
              <w:pStyle w:val="Normal"/>
            </w:pPr>
          </w:p>
        </w:tc>
      </w:tr>
      <w:tr>
        <w:tc>
          <w:tcPr>
            <w:shd w:fill="DEEAF6"/>
            <w:vAlign w:val="top"/>
            <w:tcW w:w="3528" w:type="dxa"/>
          </w:tcPr>
          <w:p>
            <w:pPr>
              <w:pStyle w:val="Normal"/>
              <w:rPr>
                <w:b/>
                <w:szCs w:val="20"/>
              </w:rPr>
            </w:pPr>
            <w:r>
              <w:rPr>
                <w:b/>
                <w:szCs w:val="20"/>
              </w:rPr>
              <w:t xml:space="preserve">Conceptual Framework </w:t>
            </w:r>
          </w:p>
          <w:p>
            <w:pPr>
              <w:pStyle w:val="Normal"/>
              <w:rPr>
                <w:szCs w:val="20"/>
              </w:rPr>
            </w:pPr>
          </w:p>
          <w:p>
            <w:pPr>
              <w:pStyle w:val="Normal"/>
              <w:rPr>
                <w:szCs w:val="20"/>
              </w:rPr>
            </w:pPr>
            <w:r>
              <w:rPr>
                <w:szCs w:val="20"/>
              </w:rPr>
              <w:t>Describe the theoretical basis for the study</w:t>
            </w:r>
            <w:r>
              <w:rPr>
                <w:szCs w:val="20"/>
              </w:rPr>
              <w:t xml:space="preserve"> (</w:t>
            </w:r>
            <w:r>
              <w:rPr>
                <w:b/>
                <w:szCs w:val="20"/>
              </w:rPr>
              <w:t xml:space="preserve">If there is not one mentioned in the </w:t>
            </w:r>
            <w:r>
              <w:rPr>
                <w:b/>
                <w:szCs w:val="20"/>
              </w:rPr>
              <w:t>article, say that here</w:t>
            </w:r>
            <w:r>
              <w:rPr>
                <w:szCs w:val="20"/>
              </w:rPr>
              <w:t>).</w:t>
            </w:r>
            <w:r>
              <w:rPr>
                <w:szCs w:val="20"/>
              </w:rPr>
              <w:t>*</w:t>
            </w:r>
            <w:r>
              <w:rPr>
                <w:szCs w:val="20"/>
              </w:rPr>
              <w:t>*</w:t>
            </w:r>
          </w:p>
          <w:p>
            <w:pPr>
              <w:pStyle w:val="Normal"/>
            </w:pPr>
          </w:p>
        </w:tc>
        <w:tc>
          <w:tcPr>
            <w:vAlign w:val="top"/>
            <w:tcW w:w="2610" w:type="dxa"/>
          </w:tcPr>
          <w:p>
            <w:pPr>
              <w:pStyle w:val="Normal"/>
            </w:pPr>
          </w:p>
          <w:p>
            <w:pPr>
              <w:pStyle w:val="Normal"/>
            </w:pPr>
          </w:p>
          <w:p>
            <w:pPr>
              <w:pStyle w:val="Normal"/>
            </w:pPr>
          </w:p>
          <w:p>
            <w:pPr>
              <w:pStyle w:val="Normal"/>
            </w:pPr>
          </w:p>
        </w:tc>
        <w:tc>
          <w:tcPr>
            <w:vAlign w:val="top"/>
            <w:tcW w:w="2790" w:type="dxa"/>
          </w:tcPr>
          <w:p>
            <w:pPr>
              <w:pStyle w:val="Normal"/>
            </w:pPr>
          </w:p>
        </w:tc>
        <w:tc>
          <w:tcPr>
            <w:vAlign w:val="top"/>
            <w:tcW w:w="2610" w:type="dxa"/>
          </w:tcPr>
          <w:p>
            <w:pPr>
              <w:pStyle w:val="Normal"/>
            </w:pPr>
          </w:p>
        </w:tc>
        <w:tc>
          <w:tcPr>
            <w:vAlign w:val="top"/>
            <w:tcW w:w="2340" w:type="dxa"/>
          </w:tcPr>
          <w:p>
            <w:pPr>
              <w:pStyle w:val="Normal"/>
            </w:pPr>
          </w:p>
        </w:tc>
      </w:tr>
      <w:tr>
        <w:tc>
          <w:tcPr>
            <w:shd w:fill="DEEAF6"/>
            <w:vAlign w:val="top"/>
            <w:tcW w:w="3528" w:type="dxa"/>
          </w:tcPr>
          <w:p>
            <w:pPr>
              <w:pStyle w:val="Normal"/>
              <w:rPr>
                <w:szCs w:val="20"/>
              </w:rPr>
            </w:pPr>
            <w:r>
              <w:rPr>
                <w:b/>
                <w:szCs w:val="20"/>
              </w:rPr>
              <w:t>Design/Method</w:t>
            </w:r>
            <w:r>
              <w:rPr>
                <w:szCs w:val="20"/>
              </w:rPr>
              <w:t xml:space="preserve"> </w:t>
            </w:r>
          </w:p>
          <w:p>
            <w:pPr>
              <w:pStyle w:val="Normal"/>
              <w:rPr>
                <w:szCs w:val="20"/>
              </w:rPr>
            </w:pPr>
          </w:p>
          <w:p>
            <w:pPr>
              <w:pStyle w:val="Normal"/>
            </w:pPr>
            <w:r>
              <w:rPr>
                <w:szCs w:val="20"/>
              </w:rPr>
              <w:t>Describe the design</w:t>
            </w:r>
            <w:r>
              <w:rPr>
                <w:szCs w:val="20"/>
              </w:rPr>
              <w:t xml:space="preserve"> </w:t>
            </w:r>
            <w:r>
              <w:rPr>
                <w:szCs w:val="20"/>
              </w:rPr>
              <w:t>and how the study</w:t>
            </w:r>
            <w:r>
              <w:rPr>
                <w:szCs w:val="20"/>
              </w:rPr>
              <w:t xml:space="preserve"> </w:t>
            </w:r>
            <w:r>
              <w:rPr>
                <w:szCs w:val="20"/>
              </w:rPr>
              <w:t>was carried out</w:t>
            </w:r>
            <w:r>
              <w:rPr>
                <w:szCs w:val="20"/>
              </w:rPr>
              <w:t xml:space="preserve"> (In detail, including </w:t>
            </w:r>
            <w:r>
              <w:rPr>
                <w:b/>
                <w:szCs w:val="20"/>
              </w:rPr>
              <w:t>inclusion/exclusion</w:t>
            </w:r>
            <w:r>
              <w:rPr>
                <w:szCs w:val="20"/>
              </w:rPr>
              <w:t xml:space="preserve"> criteria).</w:t>
            </w:r>
          </w:p>
        </w:tc>
        <w:tc>
          <w:tcPr>
            <w:vAlign w:val="top"/>
            <w:tcW w:w="2610" w:type="dxa"/>
          </w:tcPr>
          <w:p>
            <w:pPr>
              <w:pStyle w:val="Normal"/>
            </w:pPr>
          </w:p>
        </w:tc>
        <w:tc>
          <w:tcPr>
            <w:vAlign w:val="top"/>
            <w:tcW w:w="2790" w:type="dxa"/>
          </w:tcPr>
          <w:p>
            <w:pPr>
              <w:pStyle w:val="Normal"/>
            </w:pPr>
          </w:p>
        </w:tc>
        <w:tc>
          <w:tcPr>
            <w:vAlign w:val="top"/>
            <w:tcW w:w="2610" w:type="dxa"/>
          </w:tcPr>
          <w:p>
            <w:pPr>
              <w:pStyle w:val="Normal"/>
            </w:pPr>
          </w:p>
        </w:tc>
        <w:tc>
          <w:tcPr>
            <w:vAlign w:val="top"/>
            <w:tcW w:w="2340" w:type="dxa"/>
          </w:tcPr>
          <w:p>
            <w:pPr>
              <w:pStyle w:val="Normal"/>
            </w:pPr>
          </w:p>
        </w:tc>
      </w:tr>
      <w:tr>
        <w:tc>
          <w:tcPr>
            <w:shd w:fill="DEEAF6"/>
            <w:vAlign w:val="top"/>
            <w:tcW w:w="3528" w:type="dxa"/>
          </w:tcPr>
          <w:p>
            <w:pPr>
              <w:pStyle w:val="Normal"/>
              <w:rPr>
                <w:b/>
                <w:szCs w:val="20"/>
              </w:rPr>
            </w:pPr>
            <w:r>
              <w:rPr>
                <w:b/>
                <w:szCs w:val="20"/>
              </w:rPr>
              <w:t xml:space="preserve">Sample/Setting </w:t>
            </w:r>
          </w:p>
          <w:p>
            <w:pPr>
              <w:pStyle w:val="Normal"/>
              <w:rPr>
                <w:b/>
                <w:szCs w:val="20"/>
              </w:rPr>
            </w:pPr>
          </w:p>
          <w:p>
            <w:pPr>
              <w:pStyle w:val="Normal"/>
              <w:rPr>
                <w:szCs w:val="20"/>
              </w:rPr>
            </w:pPr>
            <w:r>
              <w:rPr>
                <w:szCs w:val="20"/>
              </w:rPr>
              <w:t>The number and</w:t>
            </w:r>
            <w:r>
              <w:rPr>
                <w:szCs w:val="20"/>
              </w:rPr>
              <w:t xml:space="preserve"> </w:t>
            </w:r>
            <w:r>
              <w:rPr>
                <w:szCs w:val="20"/>
              </w:rPr>
              <w:t>characteristics of</w:t>
            </w:r>
          </w:p>
          <w:p>
            <w:pPr>
              <w:pStyle w:val="Normal"/>
            </w:pPr>
            <w:r>
              <w:rPr>
                <w:szCs w:val="20"/>
              </w:rPr>
              <w:t>patients</w:t>
            </w:r>
            <w:r>
              <w:rPr>
                <w:szCs w:val="20"/>
              </w:rPr>
              <w:t>,</w:t>
            </w:r>
            <w:r>
              <w:rPr>
                <w:szCs w:val="20"/>
              </w:rPr>
              <w:t xml:space="preserve"> </w:t>
            </w:r>
            <w:r>
              <w:rPr>
                <w:szCs w:val="20"/>
              </w:rPr>
              <w:t>attrition rate</w:t>
            </w:r>
            <w:r>
              <w:rPr>
                <w:szCs w:val="20"/>
              </w:rPr>
              <w:t>, etc.</w:t>
            </w:r>
          </w:p>
        </w:tc>
        <w:tc>
          <w:tcPr>
            <w:vAlign w:val="top"/>
            <w:tcW w:w="2610" w:type="dxa"/>
          </w:tcPr>
          <w:p>
            <w:pPr>
              <w:pStyle w:val="Normal"/>
            </w:pPr>
          </w:p>
          <w:p>
            <w:pPr>
              <w:pStyle w:val="Normal"/>
            </w:pPr>
          </w:p>
          <w:p>
            <w:pPr>
              <w:pStyle w:val="Normal"/>
            </w:pPr>
          </w:p>
          <w:p>
            <w:pPr>
              <w:pStyle w:val="Normal"/>
            </w:pPr>
          </w:p>
          <w:p>
            <w:pPr>
              <w:pStyle w:val="Normal"/>
            </w:pPr>
          </w:p>
        </w:tc>
        <w:tc>
          <w:tcPr>
            <w:vAlign w:val="top"/>
            <w:tcW w:w="2790" w:type="dxa"/>
          </w:tcPr>
          <w:p>
            <w:pPr>
              <w:pStyle w:val="Normal"/>
            </w:pPr>
          </w:p>
        </w:tc>
        <w:tc>
          <w:tcPr>
            <w:vAlign w:val="top"/>
            <w:tcW w:w="2610" w:type="dxa"/>
          </w:tcPr>
          <w:p>
            <w:pPr>
              <w:pStyle w:val="Normal"/>
            </w:pPr>
          </w:p>
        </w:tc>
        <w:tc>
          <w:tcPr>
            <w:vAlign w:val="top"/>
            <w:tcW w:w="2340" w:type="dxa"/>
          </w:tcPr>
          <w:p>
            <w:pPr>
              <w:pStyle w:val="Normal"/>
            </w:pPr>
          </w:p>
        </w:tc>
      </w:tr>
      <w:tr>
        <w:tc>
          <w:tcPr>
            <w:tcBorders>
              <w:bottom w:val="single" w:sz="4" w:color="000000" w:space="0"/>
            </w:tcBorders>
            <w:shd w:fill="DEEAF6"/>
            <w:vAlign w:val="top"/>
            <w:tcW w:w="3528" w:type="dxa"/>
          </w:tcPr>
          <w:p>
            <w:pPr>
              <w:pStyle w:val="Normal"/>
              <w:rPr>
                <w:b/>
              </w:rPr>
            </w:pPr>
            <w:r>
              <w:rPr>
                <w:b/>
              </w:rPr>
              <w:t xml:space="preserve">Major </w:t>
            </w:r>
            <w:r>
              <w:rPr>
                <w:b/>
              </w:rPr>
              <w:t>V</w:t>
            </w:r>
            <w:r>
              <w:rPr>
                <w:b/>
              </w:rPr>
              <w:t xml:space="preserve">ariables </w:t>
            </w:r>
            <w:r>
              <w:rPr>
                <w:b/>
              </w:rPr>
              <w:t>S</w:t>
            </w:r>
            <w:r>
              <w:rPr>
                <w:b/>
              </w:rPr>
              <w:t>tudied</w:t>
            </w:r>
          </w:p>
          <w:p>
            <w:pPr>
              <w:pStyle w:val="Normal"/>
              <w:rPr>
                <w:b/>
              </w:rPr>
            </w:pPr>
          </w:p>
          <w:p>
            <w:pPr>
              <w:pStyle w:val="Normal"/>
            </w:pPr>
            <w:r>
              <w:rPr/>
              <w:t>List and define dependent and independent variables</w:t>
            </w:r>
          </w:p>
        </w:tc>
        <w:tc>
          <w:tcPr>
            <w:tcBorders>
              <w:bottom w:val="single" w:sz="4" w:color="000000" w:space="0"/>
            </w:tcBorders>
            <w:vAlign w:val="top"/>
            <w:tcW w:w="2610" w:type="dxa"/>
          </w:tcPr>
          <w:p>
            <w:pPr>
              <w:pStyle w:val="Normal"/>
            </w:pPr>
          </w:p>
          <w:p>
            <w:pPr>
              <w:pStyle w:val="Normal"/>
            </w:pPr>
          </w:p>
        </w:tc>
        <w:tc>
          <w:tcPr>
            <w:tcBorders>
              <w:bottom w:val="single" w:sz="4" w:color="000000" w:space="0"/>
            </w:tcBorders>
            <w:vAlign w:val="top"/>
            <w:tcW w:w="2790" w:type="dxa"/>
          </w:tcPr>
          <w:p>
            <w:pPr>
              <w:pStyle w:val="Normal"/>
            </w:pPr>
          </w:p>
        </w:tc>
        <w:tc>
          <w:tcPr>
            <w:tcBorders>
              <w:bottom w:val="single" w:sz="4" w:color="000000" w:space="0"/>
            </w:tcBorders>
            <w:vAlign w:val="top"/>
            <w:tcW w:w="2610" w:type="dxa"/>
          </w:tcPr>
          <w:p>
            <w:pPr>
              <w:pStyle w:val="Normal"/>
            </w:pPr>
          </w:p>
        </w:tc>
        <w:tc>
          <w:tcPr>
            <w:tcBorders>
              <w:bottom w:val="single" w:sz="4" w:color="000000" w:space="0"/>
            </w:tcBorders>
            <w:vAlign w:val="top"/>
            <w:tcW w:w="2340" w:type="dxa"/>
          </w:tcPr>
          <w:p>
            <w:pPr>
              <w:pStyle w:val="Normal"/>
            </w:pPr>
          </w:p>
        </w:tc>
      </w:tr>
      <w:tr>
        <w:tc>
          <w:tcPr>
            <w:tcBorders>
              <w:bottom w:val="single" w:sz="4" w:color="000000" w:space="0"/>
            </w:tcBorders>
            <w:shd w:fill="DEEAF6"/>
            <w:vAlign w:val="top"/>
            <w:tcW w:w="3528" w:type="dxa"/>
          </w:tcPr>
          <w:p>
            <w:pPr>
              <w:pStyle w:val="Normal"/>
              <w:rPr>
                <w:b/>
              </w:rPr>
            </w:pPr>
            <w:r>
              <w:rPr>
                <w:b/>
              </w:rPr>
              <w:t>Measurement</w:t>
            </w:r>
          </w:p>
          <w:p>
            <w:pPr>
              <w:pStyle w:val="Normal"/>
              <w:rPr>
                <w:b/>
              </w:rPr>
            </w:pPr>
          </w:p>
          <w:p>
            <w:pPr>
              <w:pStyle w:val="Normal"/>
            </w:pPr>
            <w:r>
              <w:rPr/>
              <w:t>Identify primary statistics used to answer clinical question</w:t>
            </w:r>
            <w:r>
              <w:rPr/>
              <w:t>s</w:t>
            </w:r>
            <w:r>
              <w:rPr/>
              <w:t xml:space="preserve"> (</w:t>
            </w:r>
            <w:r>
              <w:rPr>
                <w:b/>
              </w:rPr>
              <w:t>You need to list the actual tests done</w:t>
            </w:r>
            <w:r>
              <w:rPr/>
              <w:t>).</w:t>
            </w:r>
          </w:p>
        </w:tc>
        <w:tc>
          <w:tcPr>
            <w:tcBorders>
              <w:bottom w:val="single" w:sz="4" w:color="000000" w:space="0"/>
            </w:tcBorders>
            <w:vAlign w:val="top"/>
            <w:tcW w:w="2610" w:type="dxa"/>
          </w:tcPr>
          <w:p>
            <w:pPr>
              <w:pStyle w:val="Normal"/>
            </w:pPr>
          </w:p>
        </w:tc>
        <w:tc>
          <w:tcPr>
            <w:tcBorders>
              <w:bottom w:val="single" w:sz="4" w:color="000000" w:space="0"/>
            </w:tcBorders>
            <w:vAlign w:val="top"/>
            <w:tcW w:w="2790" w:type="dxa"/>
          </w:tcPr>
          <w:p>
            <w:pPr>
              <w:pStyle w:val="Normal"/>
            </w:pPr>
          </w:p>
        </w:tc>
        <w:tc>
          <w:tcPr>
            <w:tcBorders>
              <w:bottom w:val="single" w:sz="4" w:color="000000" w:space="0"/>
            </w:tcBorders>
            <w:vAlign w:val="top"/>
            <w:tcW w:w="2610" w:type="dxa"/>
          </w:tcPr>
          <w:p>
            <w:pPr>
              <w:pStyle w:val="Normal"/>
            </w:pPr>
          </w:p>
        </w:tc>
        <w:tc>
          <w:tcPr>
            <w:tcBorders>
              <w:bottom w:val="single" w:sz="4" w:color="000000" w:space="0"/>
            </w:tcBorders>
            <w:vAlign w:val="top"/>
            <w:tcW w:w="2340" w:type="dxa"/>
          </w:tcPr>
          <w:p>
            <w:pPr>
              <w:pStyle w:val="Normal"/>
            </w:pPr>
          </w:p>
        </w:tc>
      </w:tr>
      <w:tr>
        <w:tc>
          <w:tcPr>
            <w:tcBorders>
              <w:bottom w:val="single" w:sz="4" w:color="000000" w:space="0"/>
            </w:tcBorders>
            <w:shd w:fill="DEEAF6"/>
            <w:vAlign w:val="top"/>
            <w:tcW w:w="3528" w:type="dxa"/>
          </w:tcPr>
          <w:p>
            <w:pPr>
              <w:pStyle w:val="Normal"/>
              <w:rPr>
                <w:b/>
              </w:rPr>
            </w:pPr>
            <w:r>
              <w:rPr>
                <w:b/>
              </w:rPr>
              <w:t>Data Analysis</w:t>
            </w:r>
            <w:r>
              <w:rPr>
                <w:b/>
              </w:rPr>
              <w:t xml:space="preserve"> </w:t>
            </w:r>
            <w:r>
              <w:rPr>
                <w:b/>
              </w:rPr>
              <w:t>Statistical or</w:t>
            </w:r>
          </w:p>
          <w:p>
            <w:pPr>
              <w:pStyle w:val="Normal"/>
            </w:pPr>
            <w:r>
              <w:rPr>
                <w:b/>
              </w:rPr>
              <w:t>Q</w:t>
            </w:r>
            <w:r>
              <w:rPr>
                <w:b/>
              </w:rPr>
              <w:t>ualitative</w:t>
            </w:r>
            <w:r>
              <w:rPr>
                <w:b/>
              </w:rPr>
              <w:t xml:space="preserve"> </w:t>
            </w:r>
            <w:r>
              <w:rPr>
                <w:b/>
              </w:rPr>
              <w:t>findings</w:t>
            </w:r>
            <w:r>
              <w:rPr/>
              <w:t xml:space="preserve"> </w:t>
            </w:r>
          </w:p>
          <w:p>
            <w:pPr>
              <w:pStyle w:val="Normal"/>
            </w:pPr>
          </w:p>
          <w:p>
            <w:pPr>
              <w:pStyle w:val="Normal"/>
            </w:pPr>
            <w:r>
              <w:rPr/>
              <w:t>(</w:t>
            </w:r>
            <w:r>
              <w:rPr>
                <w:b/>
              </w:rPr>
              <w:t>You need to enter the actual numbers determined by the statistical tests or qualitative data</w:t>
            </w:r>
            <w:r>
              <w:rPr/>
              <w:t>).</w:t>
            </w:r>
          </w:p>
        </w:tc>
        <w:tc>
          <w:tcPr>
            <w:tcBorders>
              <w:bottom w:val="single" w:sz="4" w:color="000000" w:space="0"/>
            </w:tcBorders>
            <w:vAlign w:val="top"/>
            <w:tcW w:w="2610" w:type="dxa"/>
          </w:tcPr>
          <w:p>
            <w:pPr>
              <w:pStyle w:val="Normal"/>
            </w:pPr>
          </w:p>
        </w:tc>
        <w:tc>
          <w:tcPr>
            <w:tcBorders>
              <w:bottom w:val="single" w:sz="4" w:color="000000" w:space="0"/>
            </w:tcBorders>
            <w:vAlign w:val="top"/>
            <w:tcW w:w="2790" w:type="dxa"/>
          </w:tcPr>
          <w:p>
            <w:pPr>
              <w:pStyle w:val="Normal"/>
            </w:pPr>
          </w:p>
        </w:tc>
        <w:tc>
          <w:tcPr>
            <w:tcBorders>
              <w:bottom w:val="single" w:sz="4" w:color="000000" w:space="0"/>
            </w:tcBorders>
            <w:vAlign w:val="top"/>
            <w:tcW w:w="2610" w:type="dxa"/>
          </w:tcPr>
          <w:p>
            <w:pPr>
              <w:pStyle w:val="Normal"/>
            </w:pPr>
          </w:p>
        </w:tc>
        <w:tc>
          <w:tcPr>
            <w:tcBorders>
              <w:bottom w:val="single" w:sz="4" w:color="000000" w:space="0"/>
            </w:tcBorders>
            <w:vAlign w:val="top"/>
            <w:tcW w:w="2340" w:type="dxa"/>
          </w:tcPr>
          <w:p>
            <w:pPr>
              <w:pStyle w:val="Normal"/>
            </w:pPr>
          </w:p>
        </w:tc>
      </w:tr>
      <w:tr>
        <w:tc>
          <w:tcPr>
            <w:tcBorders>
              <w:bottom w:val="single" w:sz="4" w:color="000000" w:space="0"/>
            </w:tcBorders>
            <w:shd w:fill="DEEAF6"/>
            <w:vAlign w:val="top"/>
            <w:tcW w:w="3528" w:type="dxa"/>
          </w:tcPr>
          <w:p>
            <w:pPr>
              <w:pStyle w:val="Normal"/>
              <w:rPr>
                <w:b/>
              </w:rPr>
            </w:pPr>
            <w:r>
              <w:rPr>
                <w:b/>
              </w:rPr>
              <w:t>Findings</w:t>
            </w:r>
            <w:r>
              <w:rPr>
                <w:b/>
              </w:rPr>
              <w:t xml:space="preserve"> and </w:t>
            </w:r>
            <w:r>
              <w:rPr>
                <w:b/>
              </w:rPr>
              <w:t>Recommendations</w:t>
            </w:r>
          </w:p>
          <w:p>
            <w:pPr>
              <w:pStyle w:val="Normal"/>
              <w:rPr>
                <w:b/>
              </w:rPr>
            </w:pPr>
          </w:p>
          <w:p>
            <w:pPr>
              <w:pStyle w:val="Normal"/>
            </w:pPr>
            <w:r>
              <w:rPr/>
              <w:t xml:space="preserve">General findings </w:t>
            </w:r>
            <w:r>
              <w:rPr/>
              <w:t xml:space="preserve">and recommendations </w:t>
            </w:r>
            <w:r>
              <w:rPr/>
              <w:t>of the research</w:t>
            </w:r>
          </w:p>
        </w:tc>
        <w:tc>
          <w:tcPr>
            <w:tcBorders>
              <w:bottom w:val="single" w:sz="4" w:color="000000" w:space="0"/>
            </w:tcBorders>
            <w:vAlign w:val="top"/>
            <w:tcW w:w="2610" w:type="dxa"/>
          </w:tcPr>
          <w:p>
            <w:pPr>
              <w:pStyle w:val="Normal"/>
            </w:pPr>
          </w:p>
        </w:tc>
        <w:tc>
          <w:tcPr>
            <w:tcBorders>
              <w:bottom w:val="single" w:sz="4" w:color="000000" w:space="0"/>
            </w:tcBorders>
            <w:vAlign w:val="top"/>
            <w:tcW w:w="2790" w:type="dxa"/>
          </w:tcPr>
          <w:p>
            <w:pPr>
              <w:pStyle w:val="Normal"/>
            </w:pPr>
          </w:p>
        </w:tc>
        <w:tc>
          <w:tcPr>
            <w:tcBorders>
              <w:bottom w:val="single" w:sz="4" w:color="000000" w:space="0"/>
            </w:tcBorders>
            <w:vAlign w:val="top"/>
            <w:tcW w:w="2610" w:type="dxa"/>
          </w:tcPr>
          <w:p>
            <w:pPr>
              <w:pStyle w:val="Normal"/>
            </w:pPr>
          </w:p>
        </w:tc>
        <w:tc>
          <w:tcPr>
            <w:tcBorders>
              <w:bottom w:val="single" w:sz="4" w:color="000000" w:space="0"/>
            </w:tcBorders>
            <w:vAlign w:val="top"/>
            <w:tcW w:w="2340" w:type="dxa"/>
          </w:tcPr>
          <w:p>
            <w:pPr>
              <w:pStyle w:val="Normal"/>
            </w:pPr>
          </w:p>
        </w:tc>
      </w:tr>
      <w:tr>
        <w:tc>
          <w:tcPr>
            <w:tcBorders>
              <w:bottom w:val="single" w:sz="4" w:color="000000" w:space="0"/>
            </w:tcBorders>
            <w:shd w:fill="DEEAF6"/>
            <w:vAlign w:val="top"/>
            <w:tcW w:w="3528" w:type="dxa"/>
          </w:tcPr>
          <w:p>
            <w:pPr>
              <w:pStyle w:val="Normal"/>
              <w:rPr>
                <w:b/>
                <w:i/>
                <w:rFonts w:ascii="Arial" w:hAnsi="Arial"/>
                <w:sz w:val="20"/>
              </w:rPr>
            </w:pPr>
            <w:r>
              <w:rPr>
                <w:b/>
                <w:i/>
                <w:rFonts w:ascii="Arial" w:hAnsi="Arial"/>
                <w:sz w:val="20"/>
              </w:rPr>
              <w:t>Appraisal and Study Quality</w:t>
            </w:r>
          </w:p>
          <w:p>
            <w:pPr>
              <w:pStyle w:val="Normal"/>
              <w:rPr>
                <w:b/>
              </w:rPr>
            </w:pPr>
          </w:p>
          <w:p>
            <w:pPr>
              <w:pStyle w:val="Normal"/>
              <w:rPr>
                <w:b/>
              </w:rPr>
            </w:pPr>
          </w:p>
          <w:p>
            <w:pPr>
              <w:pStyle w:val="Normal"/>
            </w:pPr>
            <w:r>
              <w:rPr/>
              <w:t xml:space="preserve">Describe the general worth of this research to practice. </w:t>
            </w:r>
          </w:p>
          <w:p>
            <w:pPr>
              <w:pStyle w:val="Normal"/>
            </w:pPr>
          </w:p>
          <w:p>
            <w:pPr>
              <w:pStyle w:val="Normal"/>
            </w:pPr>
            <w:r>
              <w:rPr/>
              <w:t xml:space="preserve">What are the strengths and limitations of study? </w:t>
            </w:r>
          </w:p>
          <w:p>
            <w:pPr>
              <w:pStyle w:val="Normal"/>
            </w:pPr>
          </w:p>
          <w:p>
            <w:pPr>
              <w:pStyle w:val="Normal"/>
            </w:pPr>
            <w:r>
              <w:rPr/>
              <w:t xml:space="preserve">What are the risks </w:t>
            </w:r>
            <w:r>
              <w:rPr/>
              <w:t>associated with implementation of the suggested practices or processes detailed in the research</w:t>
            </w:r>
            <w:r>
              <w:rPr/>
              <w:t xml:space="preserve">? </w:t>
            </w:r>
          </w:p>
          <w:p>
            <w:pPr>
              <w:pStyle w:val="Normal"/>
            </w:pPr>
          </w:p>
          <w:p>
            <w:pPr>
              <w:pStyle w:val="Normal"/>
            </w:pPr>
            <w:r>
              <w:rPr/>
              <w:t>What is the feasibility of</w:t>
            </w:r>
            <w:r>
              <w:rPr/>
              <w:t xml:space="preserve"> </w:t>
            </w:r>
            <w:r>
              <w:rPr/>
              <w:t>u</w:t>
            </w:r>
            <w:r>
              <w:rPr/>
              <w:t xml:space="preserve">se in your practice? </w:t>
            </w:r>
          </w:p>
        </w:tc>
        <w:tc>
          <w:tcPr>
            <w:tcBorders>
              <w:bottom w:val="single" w:sz="4" w:color="000000" w:space="0"/>
            </w:tcBorders>
            <w:vAlign w:val="top"/>
            <w:tcW w:w="2610" w:type="dxa"/>
          </w:tcPr>
          <w:p>
            <w:pPr>
              <w:pStyle w:val="Normal"/>
            </w:pPr>
          </w:p>
        </w:tc>
        <w:tc>
          <w:tcPr>
            <w:tcBorders>
              <w:bottom w:val="single" w:sz="4" w:color="000000" w:space="0"/>
            </w:tcBorders>
            <w:vAlign w:val="top"/>
            <w:tcW w:w="2790" w:type="dxa"/>
          </w:tcPr>
          <w:p>
            <w:pPr>
              <w:pStyle w:val="Normal"/>
            </w:pPr>
          </w:p>
        </w:tc>
        <w:tc>
          <w:tcPr>
            <w:tcBorders>
              <w:bottom w:val="single" w:sz="4" w:color="000000" w:space="0"/>
            </w:tcBorders>
            <w:vAlign w:val="top"/>
            <w:tcW w:w="2610" w:type="dxa"/>
          </w:tcPr>
          <w:p>
            <w:pPr>
              <w:pStyle w:val="Normal"/>
            </w:pPr>
          </w:p>
        </w:tc>
        <w:tc>
          <w:tcPr>
            <w:tcBorders>
              <w:bottom w:val="single" w:sz="4" w:color="000000" w:space="0"/>
            </w:tcBorders>
            <w:vAlign w:val="top"/>
            <w:tcW w:w="2340" w:type="dxa"/>
          </w:tcPr>
          <w:p>
            <w:pPr>
              <w:pStyle w:val="Normal"/>
            </w:pPr>
          </w:p>
        </w:tc>
      </w:tr>
      <w:tr>
        <w:tc>
          <w:tcPr>
            <w:tcBorders>
              <w:bottom w:val="single" w:sz="4" w:color="000000" w:space="0"/>
            </w:tcBorders>
            <w:shd w:fill="DEEAF6"/>
            <w:vAlign w:val="top"/>
            <w:tcW w:w="3528" w:type="dxa"/>
          </w:tcPr>
          <w:p>
            <w:pPr>
              <w:pStyle w:val="Normal"/>
              <w:rPr>
                <w:b/>
                <w:rFonts w:ascii="Arial" w:hAnsi="Arial"/>
                <w:sz w:val="20"/>
              </w:rPr>
            </w:pPr>
          </w:p>
          <w:p>
            <w:pPr>
              <w:pStyle w:val="Normal"/>
              <w:rPr>
                <w:b/>
                <w:rFonts w:ascii="Arial" w:hAnsi="Arial"/>
                <w:sz w:val="20"/>
              </w:rPr>
            </w:pPr>
          </w:p>
          <w:p>
            <w:pPr>
              <w:pStyle w:val="Normal"/>
              <w:rPr>
                <w:b/>
                <w:rFonts w:ascii="Arial" w:hAnsi="Arial"/>
                <w:sz w:val="20"/>
              </w:rPr>
            </w:pPr>
            <w:r>
              <w:rPr>
                <w:b/>
                <w:rFonts w:ascii="Arial" w:hAnsi="Arial"/>
                <w:sz w:val="20"/>
              </w:rPr>
              <w:t>Key findings</w:t>
            </w:r>
          </w:p>
          <w:p>
            <w:pPr>
              <w:pStyle w:val="Normal"/>
              <w:rPr>
                <w:b/>
                <w:rFonts w:ascii="Arial" w:hAnsi="Arial"/>
                <w:sz w:val="20"/>
              </w:rPr>
            </w:pPr>
          </w:p>
          <w:p>
            <w:pPr>
              <w:pStyle w:val="Normal"/>
              <w:rPr>
                <w:b/>
                <w:rFonts w:ascii="Arial" w:hAnsi="Arial"/>
                <w:sz w:val="20"/>
              </w:rPr>
            </w:pPr>
          </w:p>
          <w:p>
            <w:pPr>
              <w:pStyle w:val="Normal"/>
            </w:pPr>
          </w:p>
        </w:tc>
        <w:tc>
          <w:tcPr>
            <w:tcBorders>
              <w:bottom w:val="single" w:sz="4" w:color="000000" w:space="0"/>
            </w:tcBorders>
            <w:vAlign w:val="top"/>
            <w:tcW w:w="2610" w:type="dxa"/>
          </w:tcPr>
          <w:p>
            <w:pPr>
              <w:pStyle w:val="Normal"/>
            </w:pPr>
          </w:p>
        </w:tc>
        <w:tc>
          <w:tcPr>
            <w:tcBorders>
              <w:bottom w:val="single" w:sz="4" w:color="000000" w:space="0"/>
            </w:tcBorders>
            <w:vAlign w:val="top"/>
            <w:tcW w:w="2790" w:type="dxa"/>
          </w:tcPr>
          <w:p>
            <w:pPr>
              <w:pStyle w:val="Normal"/>
            </w:pPr>
          </w:p>
        </w:tc>
        <w:tc>
          <w:tcPr>
            <w:tcBorders>
              <w:bottom w:val="single" w:sz="4" w:color="000000" w:space="0"/>
            </w:tcBorders>
            <w:vAlign w:val="top"/>
            <w:tcW w:w="2610" w:type="dxa"/>
          </w:tcPr>
          <w:p>
            <w:pPr>
              <w:pStyle w:val="Normal"/>
            </w:pPr>
          </w:p>
        </w:tc>
        <w:tc>
          <w:tcPr>
            <w:tcBorders>
              <w:bottom w:val="single" w:sz="4" w:color="000000" w:space="0"/>
            </w:tcBorders>
            <w:vAlign w:val="top"/>
            <w:tcW w:w="2340" w:type="dxa"/>
          </w:tcPr>
          <w:p>
            <w:pPr>
              <w:pStyle w:val="Normal"/>
            </w:pPr>
          </w:p>
        </w:tc>
      </w:tr>
      <w:tr>
        <w:tc>
          <w:tcPr>
            <w:tcBorders>
              <w:bottom w:val="single" w:sz="4" w:color="000000" w:space="0"/>
            </w:tcBorders>
            <w:shd w:fill="DEEAF6"/>
            <w:vAlign w:val="top"/>
            <w:tcW w:w="3528" w:type="dxa"/>
          </w:tcPr>
          <w:p>
            <w:pPr>
              <w:pStyle w:val="Normal"/>
              <w:rPr>
                <w:b/>
                <w:rFonts w:ascii="Arial" w:hAnsi="Arial"/>
                <w:sz w:val="20"/>
              </w:rPr>
            </w:pPr>
          </w:p>
          <w:p>
            <w:pPr>
              <w:pStyle w:val="Normal"/>
              <w:rPr>
                <w:b/>
                <w:rFonts w:ascii="Arial" w:hAnsi="Arial"/>
                <w:sz w:val="20"/>
              </w:rPr>
            </w:pPr>
          </w:p>
          <w:p>
            <w:pPr>
              <w:pStyle w:val="Normal"/>
              <w:rPr>
                <w:b/>
                <w:rFonts w:ascii="Arial" w:hAnsi="Arial"/>
                <w:sz w:val="20"/>
              </w:rPr>
            </w:pPr>
            <w:r>
              <w:rPr>
                <w:b/>
                <w:rFonts w:ascii="Arial" w:hAnsi="Arial"/>
                <w:sz w:val="20"/>
              </w:rPr>
              <w:t>Outcomes</w:t>
            </w:r>
          </w:p>
          <w:p>
            <w:pPr>
              <w:pStyle w:val="Normal"/>
              <w:rPr>
                <w:b/>
                <w:rFonts w:ascii="Arial" w:hAnsi="Arial"/>
                <w:sz w:val="20"/>
              </w:rPr>
            </w:pPr>
          </w:p>
          <w:p>
            <w:pPr>
              <w:pStyle w:val="Normal"/>
              <w:rPr>
                <w:b/>
                <w:rFonts w:ascii="Arial" w:hAnsi="Arial"/>
                <w:sz w:val="20"/>
              </w:rPr>
            </w:pPr>
          </w:p>
          <w:p>
            <w:pPr>
              <w:pStyle w:val="Normal"/>
            </w:pPr>
          </w:p>
        </w:tc>
        <w:tc>
          <w:tcPr>
            <w:tcBorders>
              <w:bottom w:val="single" w:sz="4" w:color="000000" w:space="0"/>
            </w:tcBorders>
            <w:vAlign w:val="top"/>
            <w:tcW w:w="2610" w:type="dxa"/>
          </w:tcPr>
          <w:p>
            <w:pPr>
              <w:pStyle w:val="Normal"/>
            </w:pPr>
          </w:p>
        </w:tc>
        <w:tc>
          <w:tcPr>
            <w:tcBorders>
              <w:bottom w:val="single" w:sz="4" w:color="000000" w:space="0"/>
            </w:tcBorders>
            <w:vAlign w:val="top"/>
            <w:tcW w:w="2790" w:type="dxa"/>
          </w:tcPr>
          <w:p>
            <w:pPr>
              <w:pStyle w:val="Normal"/>
            </w:pPr>
          </w:p>
        </w:tc>
        <w:tc>
          <w:tcPr>
            <w:tcBorders>
              <w:bottom w:val="single" w:sz="4" w:color="000000" w:space="0"/>
            </w:tcBorders>
            <w:vAlign w:val="top"/>
            <w:tcW w:w="2610" w:type="dxa"/>
          </w:tcPr>
          <w:p>
            <w:pPr>
              <w:pStyle w:val="Normal"/>
            </w:pPr>
          </w:p>
        </w:tc>
        <w:tc>
          <w:tcPr>
            <w:tcBorders>
              <w:bottom w:val="single" w:sz="4" w:color="000000" w:space="0"/>
            </w:tcBorders>
            <w:vAlign w:val="top"/>
            <w:tcW w:w="2340" w:type="dxa"/>
          </w:tcPr>
          <w:p>
            <w:pPr>
              <w:pStyle w:val="Normal"/>
            </w:pPr>
          </w:p>
        </w:tc>
      </w:tr>
      <w:tr>
        <w:tc>
          <w:tcPr>
            <w:tcBorders>
              <w:top w:val="single" w:sz="4" w:color="000000" w:space="0"/>
              <w:bottom w:val="single" w:sz="4" w:color="000000" w:space="0"/>
              <w:left w:val="single" w:sz="4" w:color="000000" w:space="0"/>
              <w:right w:val="single" w:sz="4" w:color="000000" w:space="0"/>
            </w:tcBorders>
            <w:shd w:fill="DEEAF6"/>
            <w:vAlign w:val="center"/>
            <w:tcW w:w="3528" w:type="dxa"/>
          </w:tcPr>
          <w:p>
            <w:pPr>
              <w:pStyle w:val="Normal"/>
            </w:pPr>
            <w:r>
              <w:rPr>
                <w:b/>
              </w:rPr>
              <w:t>General Notes/Comments</w:t>
            </w:r>
          </w:p>
        </w:tc>
        <w:tc>
          <w:tcPr>
            <w:tcBorders>
              <w:top w:val="single" w:sz="4" w:color="000000" w:space="0"/>
              <w:bottom w:val="single" w:sz="4" w:color="000000" w:space="0"/>
              <w:left w:val="single" w:sz="4" w:color="000000" w:space="0"/>
              <w:right w:val="single" w:sz="4" w:color="000000" w:space="0"/>
            </w:tcBorders>
            <w:vAlign w:val="top"/>
            <w:tcW w:w="2610" w:type="dxa"/>
          </w:tcPr>
          <w:p>
            <w:pPr>
              <w:pStyle w:val="Normal"/>
            </w:pPr>
          </w:p>
          <w:p>
            <w:pPr>
              <w:pStyle w:val="Normal"/>
            </w:pPr>
          </w:p>
          <w:p>
            <w:pPr>
              <w:pStyle w:val="Normal"/>
            </w:pPr>
          </w:p>
          <w:p>
            <w:pPr>
              <w:pStyle w:val="Normal"/>
            </w:pPr>
          </w:p>
          <w:p>
            <w:pPr>
              <w:pStyle w:val="Normal"/>
            </w:pPr>
          </w:p>
          <w:p>
            <w:pPr>
              <w:pStyle w:val="Normal"/>
            </w:pPr>
          </w:p>
        </w:tc>
        <w:tc>
          <w:tcPr>
            <w:tcBorders>
              <w:top w:val="single" w:sz="4" w:color="000000" w:space="0"/>
              <w:bottom w:val="single" w:sz="4" w:color="000000" w:space="0"/>
              <w:left w:val="single" w:sz="4" w:color="000000" w:space="0"/>
              <w:right w:val="single" w:sz="4" w:color="000000" w:space="0"/>
            </w:tcBorders>
            <w:vAlign w:val="top"/>
            <w:tcW w:w="2790" w:type="dxa"/>
          </w:tcPr>
          <w:p>
            <w:pPr>
              <w:pStyle w:val="Normal"/>
            </w:pPr>
          </w:p>
        </w:tc>
        <w:tc>
          <w:tcPr>
            <w:tcBorders>
              <w:top w:val="single" w:sz="4" w:color="000000" w:space="0"/>
              <w:bottom w:val="single" w:sz="4" w:color="000000" w:space="0"/>
              <w:left w:val="single" w:sz="4" w:color="000000" w:space="0"/>
              <w:right w:val="single" w:sz="4" w:color="000000" w:space="0"/>
            </w:tcBorders>
            <w:vAlign w:val="top"/>
            <w:tcW w:w="2610" w:type="dxa"/>
          </w:tcPr>
          <w:p>
            <w:pPr>
              <w:pStyle w:val="Normal"/>
            </w:pPr>
          </w:p>
        </w:tc>
        <w:tc>
          <w:tcPr>
            <w:tcBorders>
              <w:top w:val="single" w:sz="4" w:color="000000" w:space="0"/>
              <w:bottom w:val="single" w:sz="4" w:color="000000" w:space="0"/>
              <w:left w:val="single" w:sz="4" w:color="000000" w:space="0"/>
              <w:right w:val="single" w:sz="4" w:color="000000" w:space="0"/>
            </w:tcBorders>
            <w:vAlign w:val="top"/>
            <w:tcW w:w="2340" w:type="dxa"/>
          </w:tcPr>
          <w:p>
            <w:pPr>
              <w:pStyle w:val="Normal"/>
            </w:pPr>
          </w:p>
        </w:tc>
      </w:tr>
    </w:tbl>
    <w:p>
      <w:pPr>
        <w:pStyle w:val="Normal"/>
        <w:ind w:left="720"/>
        <w:rPr>
          <w:u w:val="single"/>
          <w:rFonts w:ascii="Arial" w:hAnsi="Arial"/>
          <w:sz w:val="20"/>
        </w:rPr>
      </w:pPr>
    </w:p>
    <w:p>
      <w:pPr>
        <w:pStyle w:val="Normal"/>
        <w:ind w:left="360"/>
        <w:rPr>
          <w:u w:val="single"/>
          <w:sz w:val="18"/>
          <w:szCs w:val="18"/>
        </w:rPr>
      </w:pPr>
      <w:r>
        <w:rPr>
          <w:u w:val="single"/>
          <w:sz w:val="18"/>
          <w:szCs w:val="18"/>
        </w:rPr>
        <w:t>*</w:t>
      </w:r>
      <w:hyperlink r:id="rId9">
        <w:r>
          <w:rPr>
            <w:rStyle w:val="Hyperlink"/>
            <w:sz w:val="18"/>
            <w:szCs w:val="18"/>
          </w:rPr>
          <w:t>These levels are from the Johns Hopkins Nursing Evidence-Based Practice: Evidence Level and Quality Guide</w:t>
        </w:r>
      </w:hyperlink>
      <w:r>
        <w:rPr>
          <w:u w:val="single"/>
          <w:sz w:val="18"/>
          <w:szCs w:val="18"/>
        </w:rPr>
        <w:t xml:space="preserve"> </w:t>
      </w:r>
    </w:p>
    <w:p>
      <w:pPr>
        <w:pStyle w:val="Normal"/>
        <w:ind w:left="360"/>
        <w:rPr>
          <w:u w:val="single"/>
          <w:sz w:val="18"/>
          <w:szCs w:val="18"/>
        </w:rPr>
      </w:pPr>
    </w:p>
    <w:p>
      <w:pPr>
        <w:pStyle w:val="Normal"/>
        <w:numPr>
          <w:ilvl w:val="0"/>
          <w:numId w:val="542207410"/>
        </w:numPr>
        <w:rPr>
          <w:u w:val="single"/>
          <w:sz w:val="18"/>
          <w:szCs w:val="18"/>
        </w:rPr>
      </w:pPr>
      <w:r>
        <w:rPr>
          <w:u w:val="single"/>
          <w:sz w:val="18"/>
          <w:szCs w:val="18"/>
        </w:rPr>
        <w:t>Level I</w:t>
      </w:r>
    </w:p>
    <w:p>
      <w:pPr>
        <w:pStyle w:val="Normal"/>
        <w:ind w:left="720"/>
        <w:rPr>
          <w:sz w:val="18"/>
          <w:szCs w:val="18"/>
        </w:rPr>
      </w:pPr>
      <w:r>
        <w:rPr>
          <w:sz w:val="18"/>
          <w:szCs w:val="18"/>
        </w:rPr>
        <w:t>Experimental, randomized controlled trial (RCT), systematic review RTCs with or without meta-analysis</w:t>
      </w:r>
    </w:p>
    <w:p>
      <w:pPr>
        <w:pStyle w:val="Normal"/>
        <w:rPr>
          <w:sz w:val="18"/>
          <w:szCs w:val="18"/>
        </w:rPr>
      </w:pPr>
    </w:p>
    <w:p>
      <w:pPr>
        <w:pStyle w:val="Normal"/>
        <w:numPr>
          <w:ilvl w:val="0"/>
          <w:numId w:val="542207410"/>
        </w:numPr>
        <w:rPr>
          <w:u w:val="single"/>
          <w:sz w:val="18"/>
          <w:szCs w:val="18"/>
        </w:rPr>
      </w:pPr>
      <w:r>
        <w:rPr>
          <w:u w:val="single"/>
          <w:sz w:val="18"/>
          <w:szCs w:val="18"/>
        </w:rPr>
        <w:t>Level II</w:t>
      </w:r>
    </w:p>
    <w:p>
      <w:pPr>
        <w:pStyle w:val="Normal"/>
        <w:ind w:left="720"/>
        <w:rPr>
          <w:sz w:val="18"/>
          <w:szCs w:val="18"/>
        </w:rPr>
      </w:pPr>
      <w:r>
        <w:rPr>
          <w:sz w:val="18"/>
          <w:szCs w:val="18"/>
        </w:rPr>
        <w:t xml:space="preserve">Quasi-experimental studies, systematic review of a combination of RCTs and quasi-experimental studies, or quasi-experimental studies only, with </w:t>
      </w:r>
      <w:r>
        <w:rPr>
          <w:sz w:val="18"/>
          <w:szCs w:val="18"/>
        </w:rPr>
        <w:t>or without meta-analysis</w:t>
      </w:r>
    </w:p>
    <w:p>
      <w:pPr>
        <w:pStyle w:val="Normal"/>
        <w:rPr>
          <w:sz w:val="18"/>
          <w:szCs w:val="18"/>
        </w:rPr>
      </w:pPr>
    </w:p>
    <w:p>
      <w:pPr>
        <w:pStyle w:val="Normal"/>
        <w:numPr>
          <w:ilvl w:val="0"/>
          <w:numId w:val="542207410"/>
        </w:numPr>
        <w:rPr>
          <w:u w:val="single"/>
          <w:sz w:val="18"/>
          <w:szCs w:val="18"/>
        </w:rPr>
      </w:pPr>
      <w:r>
        <w:rPr>
          <w:u w:val="single"/>
          <w:sz w:val="18"/>
          <w:szCs w:val="18"/>
        </w:rPr>
        <w:t>Level III</w:t>
      </w:r>
    </w:p>
    <w:p>
      <w:pPr>
        <w:pStyle w:val="Normal"/>
        <w:ind w:left="720"/>
        <w:rPr>
          <w:sz w:val="18"/>
          <w:szCs w:val="18"/>
        </w:rPr>
      </w:pPr>
      <w:r>
        <w:rPr>
          <w:sz w:val="18"/>
          <w:szCs w:val="18"/>
        </w:rPr>
        <w:t>Nonexperimental, systematic review of RCTs, quasi-experimental with/without meta-analysis, qualitative, qualitative systematic review with/without meta-synthesis</w:t>
      </w:r>
      <w:r>
        <w:rPr>
          <w:sz w:val="18"/>
          <w:szCs w:val="18"/>
        </w:rPr>
        <w:cr/>
      </w:r>
    </w:p>
    <w:p>
      <w:pPr>
        <w:pStyle w:val="Normal"/>
        <w:numPr>
          <w:ilvl w:val="0"/>
          <w:numId w:val="542207410"/>
        </w:numPr>
        <w:rPr>
          <w:u w:val="single"/>
          <w:sz w:val="18"/>
          <w:szCs w:val="18"/>
        </w:rPr>
      </w:pPr>
      <w:r>
        <w:rPr>
          <w:u w:val="single"/>
          <w:sz w:val="18"/>
          <w:szCs w:val="18"/>
        </w:rPr>
        <w:t>Level IV</w:t>
      </w:r>
    </w:p>
    <w:p>
      <w:pPr>
        <w:pStyle w:val="Normal"/>
        <w:ind w:left="720"/>
        <w:rPr>
          <w:sz w:val="18"/>
          <w:szCs w:val="18"/>
        </w:rPr>
      </w:pPr>
      <w:r>
        <w:rPr>
          <w:sz w:val="18"/>
          <w:szCs w:val="18"/>
        </w:rPr>
        <w:t>Respected authorities’ opinions, nationally reco</w:t>
      </w:r>
      <w:r>
        <w:rPr>
          <w:sz w:val="18"/>
          <w:szCs w:val="18"/>
        </w:rPr>
        <w:t>gnized expert committee/consensus panel reports based on scientific evidence</w:t>
      </w:r>
      <w:r>
        <w:rPr>
          <w:sz w:val="18"/>
          <w:szCs w:val="18"/>
        </w:rPr>
        <w:cr/>
      </w:r>
    </w:p>
    <w:p>
      <w:pPr>
        <w:pStyle w:val="Normal"/>
        <w:numPr>
          <w:ilvl w:val="0"/>
          <w:numId w:val="542207410"/>
        </w:numPr>
        <w:rPr>
          <w:u w:val="single"/>
          <w:sz w:val="18"/>
          <w:szCs w:val="18"/>
        </w:rPr>
      </w:pPr>
      <w:r>
        <w:rPr>
          <w:u w:val="single"/>
          <w:sz w:val="18"/>
          <w:szCs w:val="18"/>
        </w:rPr>
        <w:t>Level V</w:t>
      </w:r>
    </w:p>
    <w:p>
      <w:pPr>
        <w:pStyle w:val="Normal"/>
        <w:ind w:left="720"/>
        <w:rPr>
          <w:sz w:val="18"/>
          <w:szCs w:val="18"/>
        </w:rPr>
      </w:pPr>
      <w:r>
        <w:rPr>
          <w:sz w:val="18"/>
          <w:szCs w:val="18"/>
        </w:rPr>
        <w:t>Literature reviews, quality improvement, program evaluation, financial evaluation, case reports, nationally recognized expert(s) opinion based on experiential evidence</w:t>
      </w:r>
    </w:p>
    <w:p>
      <w:pPr>
        <w:pStyle w:val="Normal"/>
        <w:ind w:left="720"/>
        <w:rPr>
          <w:sz w:val="18"/>
          <w:szCs w:val="18"/>
        </w:rPr>
      </w:pPr>
    </w:p>
    <w:p>
      <w:pPr>
        <w:pStyle w:val="Normal"/>
        <w:rPr>
          <w:sz w:val="18"/>
          <w:szCs w:val="18"/>
        </w:rPr>
      </w:pPr>
    </w:p>
    <w:p>
      <w:pPr>
        <w:pStyle w:val="Normal"/>
        <w:rPr>
          <w:sz w:val="18"/>
          <w:szCs w:val="18"/>
        </w:rPr>
      </w:pPr>
      <w:r>
        <w:rPr>
          <w:sz w:val="18"/>
          <w:szCs w:val="18"/>
        </w:rPr>
        <w:t>*</w:t>
      </w:r>
      <w:r>
        <w:rPr>
          <w:sz w:val="18"/>
          <w:szCs w:val="18"/>
        </w:rPr>
        <w:t>*</w:t>
      </w:r>
      <w:r>
        <w:rPr>
          <w:sz w:val="18"/>
          <w:szCs w:val="18"/>
        </w:rPr>
        <w:t>Note on Conceptual Framework</w:t>
      </w:r>
    </w:p>
    <w:p>
      <w:pPr>
        <w:pStyle w:val="Normal"/>
        <w:rPr>
          <w:sz w:val="18"/>
          <w:szCs w:val="18"/>
        </w:rPr>
      </w:pPr>
    </w:p>
    <w:p>
      <w:pPr>
        <w:pStyle w:val="Normal"/>
        <w:numPr>
          <w:ilvl w:val="0"/>
          <w:numId w:val="542207410"/>
        </w:numPr>
        <w:rPr>
          <w:sz w:val="18"/>
          <w:szCs w:val="18"/>
        </w:rPr>
      </w:pPr>
      <w:r>
        <w:rPr>
          <w:sz w:val="18"/>
          <w:szCs w:val="18"/>
        </w:rPr>
        <w:t xml:space="preserve">The following information is from Walden academic guides which helps explain conceptual frameworks and the reasons they are used in research. Here is the link </w:t>
      </w:r>
      <w:hyperlink r:id="rId10">
        <w:r>
          <w:rPr>
            <w:rStyle w:val="Hyperlink"/>
            <w:sz w:val="18"/>
            <w:szCs w:val="18"/>
          </w:rPr>
          <w:t>https://academicguides.waldenu.edu/library/conceptualframework</w:t>
        </w:r>
      </w:hyperlink>
    </w:p>
    <w:p>
      <w:pPr>
        <w:pStyle w:val="Normal"/>
        <w:rPr>
          <w:sz w:val="18"/>
          <w:szCs w:val="18"/>
        </w:rPr>
      </w:pPr>
    </w:p>
    <w:p>
      <w:pPr>
        <w:pStyle w:val="Normal"/>
        <w:numPr>
          <w:ilvl w:val="0"/>
          <w:numId w:val="542207410"/>
        </w:numPr>
        <w:rPr>
          <w:sz w:val="18"/>
          <w:szCs w:val="18"/>
        </w:rPr>
      </w:pPr>
      <w:r>
        <w:rPr>
          <w:sz w:val="18"/>
          <w:szCs w:val="18"/>
        </w:rPr>
        <w:t>Researchers create theoretical and conceptual frameworks that include a philosophical and methodological model to help design their work. A formal theory provides context for the</w:t>
      </w:r>
      <w:r>
        <w:rPr>
          <w:sz w:val="18"/>
          <w:szCs w:val="18"/>
        </w:rPr>
        <w:t xml:space="preserve"> outcome of the events conducted in the research. The data collection and analysis are also based on the theoretical and conceptual framework.</w:t>
      </w:r>
    </w:p>
    <w:p>
      <w:pPr>
        <w:pStyle w:val="Normal"/>
        <w:rPr>
          <w:sz w:val="18"/>
          <w:szCs w:val="18"/>
        </w:rPr>
      </w:pPr>
    </w:p>
    <w:p>
      <w:pPr>
        <w:pStyle w:val="Normal"/>
        <w:numPr>
          <w:ilvl w:val="0"/>
          <w:numId w:val="542207410"/>
        </w:numPr>
        <w:rPr>
          <w:sz w:val="18"/>
          <w:szCs w:val="18"/>
        </w:rPr>
      </w:pPr>
      <w:r>
        <w:rPr>
          <w:sz w:val="18"/>
          <w:szCs w:val="18"/>
        </w:rPr>
        <w:t>As stated by Grant and Osanloo (2014), “Without a theoretical framework, the structure and vision for a study is</w:t>
      </w:r>
      <w:r>
        <w:rPr>
          <w:sz w:val="18"/>
          <w:szCs w:val="18"/>
        </w:rPr>
        <w:t xml:space="preserve"> unclear, much like a house that cannot be constructed without a blueprint. By contrast, a research plan that contains a theoretical framework allows the dissertation study to be strong and structured with an organized flow from one chapter to the next.”</w:t>
      </w:r>
    </w:p>
    <w:p>
      <w:pPr>
        <w:pStyle w:val="Normal"/>
        <w:rPr>
          <w:sz w:val="18"/>
          <w:szCs w:val="18"/>
        </w:rPr>
      </w:pPr>
    </w:p>
    <w:p>
      <w:pPr>
        <w:pStyle w:val="Normal"/>
        <w:numPr>
          <w:ilvl w:val="0"/>
          <w:numId w:val="542207410"/>
        </w:numPr>
        <w:rPr>
          <w:sz w:val="18"/>
          <w:szCs w:val="18"/>
        </w:rPr>
      </w:pPr>
      <w:r>
        <w:rPr>
          <w:sz w:val="18"/>
          <w:szCs w:val="18"/>
        </w:rPr>
        <w:t>Theoretical and conceptual frameworks provide evidence of academic standards and procedure. They also offer an explanation of why the study is pertinent and how the researcher expects to fill the gap in the literature.</w:t>
      </w:r>
    </w:p>
    <w:p>
      <w:pPr>
        <w:pStyle w:val="Normal"/>
        <w:rPr>
          <w:sz w:val="18"/>
          <w:szCs w:val="18"/>
        </w:rPr>
      </w:pPr>
    </w:p>
    <w:p>
      <w:pPr>
        <w:pStyle w:val="Normal"/>
        <w:numPr>
          <w:ilvl w:val="0"/>
          <w:numId w:val="542207410"/>
        </w:numPr>
        <w:rPr>
          <w:sz w:val="18"/>
          <w:szCs w:val="18"/>
        </w:rPr>
      </w:pPr>
      <w:r>
        <w:rPr>
          <w:sz w:val="18"/>
          <w:szCs w:val="18"/>
        </w:rPr>
        <w:t>Literature does not always clearly d</w:t>
      </w:r>
      <w:r>
        <w:rPr>
          <w:sz w:val="18"/>
          <w:szCs w:val="18"/>
        </w:rPr>
        <w:t xml:space="preserve">elineate between a theoretical or conceptual framework. With that being said, there are slight differences between the two. </w:t>
      </w:r>
    </w:p>
    <w:p>
      <w:pPr>
        <w:pStyle w:val="ListParagraph"/>
        <w:rPr>
          <w:rFonts w:ascii="Times New Roman" w:hAnsi="Times New Roman"/>
          <w:sz w:val="18"/>
          <w:szCs w:val="18"/>
        </w:rPr>
      </w:pPr>
      <w:r>
        <w:rPr>
          <w:rFonts w:ascii="Times New Roman" w:hAnsi="Times New Roman"/>
          <w:sz w:val="18"/>
          <w:szCs w:val="18"/>
        </w:rPr>
        <w:br w:type="page"/>
      </w:r>
    </w:p>
    <w:p>
      <w:pPr>
        <w:pStyle w:val="Normal"/>
        <w:jc w:val="center"/>
        <w:rPr>
          <w:sz w:val="22"/>
          <w:szCs w:val="22"/>
        </w:rPr>
      </w:pPr>
      <w:r>
        <w:rPr>
          <w:sz w:val="22"/>
          <w:szCs w:val="22"/>
        </w:rPr>
        <w:t>References</w:t>
      </w:r>
    </w:p>
    <w:p>
      <w:pPr>
        <w:pStyle w:val="Normal"/>
        <w:jc w:val="center"/>
        <w:rPr>
          <w:sz w:val="22"/>
          <w:szCs w:val="22"/>
        </w:rPr>
      </w:pPr>
    </w:p>
    <w:p>
      <w:pPr>
        <w:pStyle w:val="Normal"/>
        <w:ind w:left="720"/>
        <w:ind w:hanging="720"/>
        <w:rPr>
          <w:sz w:val="22"/>
          <w:szCs w:val="22"/>
        </w:rPr>
      </w:pPr>
    </w:p>
    <w:p>
      <w:pPr>
        <w:pStyle w:val="Normal"/>
        <w:ind w:left="720"/>
        <w:ind w:hanging="720"/>
        <w:rPr>
          <w:sz w:val="22"/>
          <w:szCs w:val="22"/>
        </w:rPr>
      </w:pPr>
      <w:r>
        <w:rPr>
          <w:sz w:val="22"/>
          <w:szCs w:val="22"/>
        </w:rPr>
        <w:t xml:space="preserve">The Johns Hopkins Hospital/Johns Hopkins University (n.d.). Johns Hopkins nursing dvidence-based practice: appendix C: evidence level and quality guide. Retrieved October 23, 2019 from </w:t>
      </w:r>
      <w:hyperlink r:id="rId11">
        <w:r>
          <w:rPr>
            <w:rStyle w:val="Hyperlink"/>
            <w:sz w:val="22"/>
            <w:szCs w:val="22"/>
          </w:rPr>
          <w:t>https://www.hopkinsmedicine.org/evidence-based-practice/_docs/appendix_c_evidence_level_quality_guide.pdf</w:t>
        </w:r>
      </w:hyperlink>
      <w:r>
        <w:rPr>
          <w:sz w:val="22"/>
          <w:szCs w:val="22"/>
        </w:rPr>
        <w:t xml:space="preserve"> </w:t>
      </w:r>
    </w:p>
    <w:p>
      <w:pPr>
        <w:pStyle w:val="Normal"/>
        <w:ind w:left="720"/>
        <w:ind w:hanging="720"/>
        <w:rPr>
          <w:sz w:val="22"/>
          <w:szCs w:val="22"/>
        </w:rPr>
      </w:pPr>
      <w:r>
        <w:rPr>
          <w:sz w:val="22"/>
          <w:szCs w:val="22"/>
        </w:rPr>
        <w:t xml:space="preserve"> </w:t>
      </w:r>
    </w:p>
    <w:p>
      <w:pPr>
        <w:pStyle w:val="Normal"/>
        <w:ind w:left="720"/>
        <w:ind w:hanging="720"/>
        <w:rPr>
          <w:sz w:val="22"/>
          <w:szCs w:val="22"/>
        </w:rPr>
      </w:pPr>
      <w:r>
        <w:rPr>
          <w:sz w:val="22"/>
          <w:szCs w:val="22"/>
          <w:shd w:fill="FFFFFF"/>
        </w:rPr>
        <w:t>Grant, C., &amp; Osanloo, A. (2014). Understanding, Selecting, and Integrating a Theoretical Framewo</w:t>
      </w:r>
      <w:r>
        <w:rPr>
          <w:sz w:val="22"/>
          <w:szCs w:val="22"/>
          <w:shd w:fill="FFFFFF"/>
        </w:rPr>
        <w:t xml:space="preserve">rk in Dissertation Research: Creating the Blueprint for Your" House". </w:t>
      </w:r>
      <w:r>
        <w:rPr>
          <w:i/>
          <w:sz w:val="22"/>
          <w:szCs w:val="22"/>
          <w:shd w:fill="FFFFFF"/>
        </w:rPr>
        <w:t>Administrative Issues Journal: Education, Practice, and Research, 4</w:t>
      </w:r>
      <w:r>
        <w:rPr>
          <w:sz w:val="22"/>
          <w:szCs w:val="22"/>
          <w:shd w:fill="FFFFFF"/>
        </w:rPr>
        <w:t>(2), 12-26.</w:t>
      </w:r>
    </w:p>
    <w:p>
      <w:pPr>
        <w:pStyle w:val="Normal"/>
        <w:ind w:left="720"/>
        <w:ind w:hanging="720"/>
        <w:rPr>
          <w:sz w:val="22"/>
          <w:szCs w:val="22"/>
        </w:rPr>
      </w:pPr>
    </w:p>
    <w:p>
      <w:pPr>
        <w:pStyle w:val="Normal"/>
        <w:ind w:left="720"/>
        <w:ind w:hanging="720"/>
        <w:rPr>
          <w:sz w:val="22"/>
          <w:szCs w:val="22"/>
        </w:rPr>
      </w:pPr>
      <w:r>
        <w:rPr>
          <w:sz w:val="22"/>
          <w:szCs w:val="22"/>
        </w:rPr>
        <w:t xml:space="preserve">Walden University Academic Guides (n.d.). Conceptual &amp; theoretical frameworks overview. Retrieved October </w:t>
      </w:r>
      <w:r>
        <w:rPr>
          <w:sz w:val="22"/>
          <w:szCs w:val="22"/>
        </w:rPr>
        <w:t xml:space="preserve">23, 2019 from </w:t>
      </w:r>
      <w:hyperlink r:id="rId12">
        <w:r>
          <w:rPr>
            <w:rStyle w:val="Hyperlink"/>
            <w:sz w:val="22"/>
            <w:szCs w:val="22"/>
          </w:rPr>
          <w:t>https://academicguides.waldenu.edu/library/conceptualframework</w:t>
        </w:r>
      </w:hyperlink>
      <w:r>
        <w:rPr>
          <w:sz w:val="22"/>
          <w:szCs w:val="22"/>
        </w:rPr>
        <w:t xml:space="preserve"> </w:t>
      </w:r>
    </w:p>
    <w:sectPr>
      <w:footerReference r:id="rId13" w:type="default"/>
      <w:pgSz w:w="15840" w:h="12240" w:orient="landscape"/>
      <w:pgMar w:left="1440" w:right="1440" w:top="1800" w:bottom="180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font w:name="Symbol"/>
  <w:font w:name="Arial"/>
  <w:font w:name="Calibri"/>
  <w:font w:name="Segoe UI"/>
  <w:font w:name="Calibri Light"/>
  <w:font w:name="Courier New"/>
  <w:font w:name="Wingdings"/>
  <w:font w:name="Cambria Math"/>
  <w:font w:name="Cambria"/>
</w:fonts>
</file>

<file path=word/foot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rPr>
        <w:rFonts w:ascii="Arial" w:hAnsi="Arial"/>
        <w:sz w:val="18"/>
        <w:szCs w:val="18"/>
      </w:rPr>
    </w:pPr>
    <w:r>
      <w:rPr>
        <w:rFonts w:ascii="Arial" w:hAnsi="Arial"/>
        <w:sz w:val="18"/>
        <w:szCs w:val="18"/>
      </w:rPr>
      <w:t>© 201</w:t>
    </w:r>
    <w:r>
      <w:rPr>
        <w:rFonts w:ascii="Arial" w:hAnsi="Arial"/>
        <w:sz w:val="18"/>
        <w:szCs w:val="18"/>
      </w:rPr>
      <w:t>8</w:t>
    </w:r>
    <w:r>
      <w:rPr>
        <w:rFonts w:ascii="Arial" w:hAnsi="Arial"/>
        <w:sz w:val="18"/>
        <w:szCs w:val="18"/>
      </w:rPr>
      <w:t xml:space="preserve"> Laureate Education Inc.</w:t>
    </w:r>
    <w:r>
      <w:rPr>
        <w:rFonts w:ascii="Arial" w:hAnsi="Arial"/>
        <w:sz w:val="18"/>
        <w:szCs w:val="18"/>
      </w:rPr>
      <w:tab/>
    </w:r>
    <w:r>
      <w:rPr>
        <w:rFonts w:ascii="Arial" w:hAnsi="Arial"/>
        <w:sz w:val="18"/>
        <w:szCs w:val="18"/>
      </w:rPr>
      <w:tab/>
      <w:t xml:space="preserve">  </w:t>
    </w:r>
    <w:fldSimple w:instr=" PAGE  \* MERGEFORMAT ">
      <w:r>
        <w:rPr>
          <w:rFonts w:ascii="Arial" w:hAnsi="Arial"/>
          <w:sz w:val="18"/>
          <w:szCs w:val="18"/>
        </w:rPr>
        <w:t>2</w:t>
      </w:r>
    </w:fldSimple>
  </w:p>
  <w:p>
    <w:pPr>
      <w:pStyle w:val="Footer"/>
      <w:jc w:val="center"/>
      <w:rPr>
        <w:i/>
        <w:rFonts w:ascii="Arial" w:hAnsi="Arial"/>
        <w:sz w:val="20"/>
        <w:szCs w:val="20"/>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20788200">
    <w:multiLevelType w:val="hybridMultilevel"/>
    <w:lvl w:ilvl="0">
      <w:numFmt w:val="bullet"/>
      <w:lvlText w:val=""/>
      <w:start w:val="0"/>
      <w:lvlJc w:val="left"/>
      <w:pPr>
        <w:ind w:left="720"/>
        <w:ind w:hanging="360"/>
      </w:pPr>
      <w:rPr>
        <w:rFonts w:ascii="Symbol" w:hAnsi="Symbol"/>
      </w:rPr>
    </w:lvl>
    <w:lvl w:ilvl="1">
      <w:numFmt w:val="bullet"/>
      <w:lvlText w:val="o"/>
      <w:start w:val="0"/>
      <w:lvlJc w:val="left"/>
      <w:pPr>
        <w:ind w:left="1440"/>
        <w:ind w:hanging="360"/>
      </w:pPr>
      <w:rPr>
        <w:rFonts w:ascii="Courier New" w:hAnsi="Courier New"/>
      </w:rPr>
    </w:lvl>
    <w:lvl w:ilvl="2">
      <w:numFmt w:val="bullet"/>
      <w:lvlText w:val=""/>
      <w:start w:val="0"/>
      <w:lvlJc w:val="left"/>
      <w:pPr>
        <w:ind w:left="2160"/>
        <w:ind w:hanging="360"/>
      </w:pPr>
      <w:rPr>
        <w:rFonts w:ascii="Wingdings" w:hAnsi="Wingdings"/>
      </w:rPr>
    </w:lvl>
    <w:lvl w:ilvl="3">
      <w:numFmt w:val="bullet"/>
      <w:lvlText w:val=""/>
      <w:start w:val="0"/>
      <w:lvlJc w:val="left"/>
      <w:pPr>
        <w:ind w:left="2880"/>
        <w:ind w:hanging="360"/>
      </w:pPr>
      <w:rPr>
        <w:rFonts w:ascii="Symbol" w:hAnsi="Symbol"/>
      </w:rPr>
    </w:lvl>
    <w:lvl w:ilvl="4">
      <w:numFmt w:val="bullet"/>
      <w:lvlText w:val="o"/>
      <w:start w:val="0"/>
      <w:lvlJc w:val="left"/>
      <w:pPr>
        <w:ind w:left="3600"/>
        <w:ind w:hanging="360"/>
      </w:pPr>
      <w:rPr>
        <w:rFonts w:ascii="Courier New" w:hAnsi="Courier New"/>
      </w:rPr>
    </w:lvl>
    <w:lvl w:ilvl="5">
      <w:numFmt w:val="bullet"/>
      <w:lvlText w:val=""/>
      <w:start w:val="0"/>
      <w:lvlJc w:val="left"/>
      <w:pPr>
        <w:ind w:left="4320"/>
        <w:ind w:hanging="360"/>
      </w:pPr>
      <w:rPr>
        <w:rFonts w:ascii="Wingdings" w:hAnsi="Wingdings"/>
      </w:rPr>
    </w:lvl>
    <w:lvl w:ilvl="6">
      <w:numFmt w:val="bullet"/>
      <w:lvlText w:val=""/>
      <w:start w:val="0"/>
      <w:lvlJc w:val="left"/>
      <w:pPr>
        <w:ind w:left="5040"/>
        <w:ind w:hanging="360"/>
      </w:pPr>
      <w:rPr>
        <w:rFonts w:ascii="Symbol" w:hAnsi="Symbol"/>
      </w:rPr>
    </w:lvl>
    <w:lvl w:ilvl="7">
      <w:numFmt w:val="bullet"/>
      <w:lvlText w:val="o"/>
      <w:start w:val="0"/>
      <w:lvlJc w:val="left"/>
      <w:pPr>
        <w:ind w:left="5760"/>
        <w:ind w:hanging="360"/>
      </w:pPr>
      <w:rPr>
        <w:rFonts w:ascii="Courier New" w:hAnsi="Courier New"/>
      </w:rPr>
    </w:lvl>
    <w:lvl w:ilvl="8">
      <w:numFmt w:val="bullet"/>
      <w:lvlText w:val=""/>
      <w:start w:val="0"/>
      <w:lvlJc w:val="left"/>
      <w:pPr>
        <w:ind w:left="6480"/>
        <w:ind w:hanging="360"/>
      </w:pPr>
      <w:rPr>
        <w:rFonts w:ascii="Wingdings" w:hAnsi="Wingdings"/>
      </w:rPr>
    </w:lvl>
  </w:abstractNum>
  <w:abstractNum w:abstractNumId="29844198">
    <w:multiLevelType w:val="hybridMultilevel"/>
    <w:lvl w:ilvl="0">
      <w:numFmt w:val="bullet"/>
      <w:lvlText w:val=""/>
      <w:start w:val="0"/>
      <w:lvlJc w:val="left"/>
      <w:pPr>
        <w:ind w:left="720"/>
        <w:ind w:hanging="360"/>
      </w:pPr>
      <w:rPr>
        <w:rFonts w:ascii="Symbol" w:hAnsi="Symbol"/>
      </w:rPr>
    </w:lvl>
    <w:lvl w:ilvl="1">
      <w:numFmt w:val="bullet"/>
      <w:lvlText w:val="o"/>
      <w:start w:val="0"/>
      <w:lvlJc w:val="left"/>
      <w:pPr>
        <w:ind w:left="1440"/>
        <w:ind w:hanging="360"/>
      </w:pPr>
      <w:rPr>
        <w:rFonts w:ascii="Courier New" w:hAnsi="Courier New"/>
      </w:rPr>
    </w:lvl>
    <w:lvl w:ilvl="2">
      <w:numFmt w:val="bullet"/>
      <w:lvlText w:val=""/>
      <w:start w:val="0"/>
      <w:lvlJc w:val="left"/>
      <w:pPr>
        <w:ind w:left="2160"/>
        <w:ind w:hanging="360"/>
      </w:pPr>
      <w:rPr>
        <w:rFonts w:ascii="Wingdings" w:hAnsi="Wingdings"/>
      </w:rPr>
    </w:lvl>
    <w:lvl w:ilvl="3">
      <w:numFmt w:val="bullet"/>
      <w:lvlText w:val=""/>
      <w:start w:val="0"/>
      <w:lvlJc w:val="left"/>
      <w:pPr>
        <w:ind w:left="2880"/>
        <w:ind w:hanging="360"/>
      </w:pPr>
      <w:rPr>
        <w:rFonts w:ascii="Symbol" w:hAnsi="Symbol"/>
      </w:rPr>
    </w:lvl>
    <w:lvl w:ilvl="4">
      <w:numFmt w:val="bullet"/>
      <w:lvlText w:val="o"/>
      <w:start w:val="0"/>
      <w:lvlJc w:val="left"/>
      <w:pPr>
        <w:ind w:left="3600"/>
        <w:ind w:hanging="360"/>
      </w:pPr>
      <w:rPr>
        <w:rFonts w:ascii="Courier New" w:hAnsi="Courier New"/>
      </w:rPr>
    </w:lvl>
    <w:lvl w:ilvl="5">
      <w:numFmt w:val="bullet"/>
      <w:lvlText w:val=""/>
      <w:start w:val="0"/>
      <w:lvlJc w:val="left"/>
      <w:pPr>
        <w:ind w:left="4320"/>
        <w:ind w:hanging="360"/>
      </w:pPr>
      <w:rPr>
        <w:rFonts w:ascii="Wingdings" w:hAnsi="Wingdings"/>
      </w:rPr>
    </w:lvl>
    <w:lvl w:ilvl="6">
      <w:numFmt w:val="bullet"/>
      <w:lvlText w:val=""/>
      <w:start w:val="0"/>
      <w:lvlJc w:val="left"/>
      <w:pPr>
        <w:ind w:left="5040"/>
        <w:ind w:hanging="360"/>
      </w:pPr>
      <w:rPr>
        <w:rFonts w:ascii="Symbol" w:hAnsi="Symbol"/>
      </w:rPr>
    </w:lvl>
    <w:lvl w:ilvl="7">
      <w:numFmt w:val="bullet"/>
      <w:lvlText w:val="o"/>
      <w:start w:val="0"/>
      <w:lvlJc w:val="left"/>
      <w:pPr>
        <w:ind w:left="5760"/>
        <w:ind w:hanging="360"/>
      </w:pPr>
      <w:rPr>
        <w:rFonts w:ascii="Courier New" w:hAnsi="Courier New"/>
      </w:rPr>
    </w:lvl>
    <w:lvl w:ilvl="8">
      <w:numFmt w:val="bullet"/>
      <w:lvlText w:val=""/>
      <w:start w:val="0"/>
      <w:lvlJc w:val="left"/>
      <w:pPr>
        <w:ind w:left="6480"/>
        <w:ind w:hanging="360"/>
      </w:pPr>
      <w:rPr>
        <w:rFonts w:ascii="Wingdings" w:hAnsi="Wingdings"/>
      </w:rPr>
    </w:lvl>
  </w:abstractNum>
  <w:abstractNum w:abstractNumId="186453729">
    <w:multiLevelType w:val="hybridMultilevel"/>
    <w:lvl w:ilvl="0">
      <w:numFmt w:val="decimal"/>
      <w:lvlText w:val="%1."/>
      <w:start w:val="1"/>
      <w:lvlJc w:val="left"/>
      <w:pPr>
        <w:ind w:left="720"/>
        <w:ind w:hanging="360"/>
      </w:pPr>
      <w:rPr/>
    </w:lvl>
    <w:lvl w:ilvl="1">
      <w:numFmt w:val="lowerLetter"/>
      <w:lvlText w:val="%2."/>
      <w:start w:val="1"/>
      <w:lvlJc w:val="left"/>
      <w:pPr>
        <w:ind w:left="1440"/>
        <w:ind w:hanging="360"/>
      </w:pPr>
      <w:rPr/>
    </w:lvl>
    <w:lvl w:ilvl="2">
      <w:numFmt w:val="lowerRoman"/>
      <w:lvlText w:val="%3."/>
      <w:start w:val="1"/>
      <w:lvlJc w:val="right"/>
      <w:pPr>
        <w:ind w:left="2160"/>
        <w:ind w:hanging="180"/>
      </w:pPr>
      <w:rPr/>
    </w:lvl>
    <w:lvl w:ilvl="3">
      <w:numFmt w:val="decimal"/>
      <w:lvlText w:val="%4."/>
      <w:start w:val="1"/>
      <w:lvlJc w:val="left"/>
      <w:pPr>
        <w:ind w:left="2880"/>
        <w:ind w:hanging="360"/>
      </w:pPr>
      <w:rPr/>
    </w:lvl>
    <w:lvl w:ilvl="4">
      <w:numFmt w:val="lowerLetter"/>
      <w:lvlText w:val="%5."/>
      <w:start w:val="1"/>
      <w:lvlJc w:val="left"/>
      <w:pPr>
        <w:ind w:left="3600"/>
        <w:ind w:hanging="360"/>
      </w:pPr>
      <w:rPr/>
    </w:lvl>
    <w:lvl w:ilvl="5">
      <w:numFmt w:val="lowerRoman"/>
      <w:lvlText w:val="%6."/>
      <w:start w:val="1"/>
      <w:lvlJc w:val="right"/>
      <w:pPr>
        <w:ind w:left="4320"/>
        <w:ind w:hanging="180"/>
      </w:pPr>
      <w:rPr/>
    </w:lvl>
    <w:lvl w:ilvl="6">
      <w:numFmt w:val="decimal"/>
      <w:lvlText w:val="%7."/>
      <w:start w:val="1"/>
      <w:lvlJc w:val="left"/>
      <w:pPr>
        <w:ind w:left="5040"/>
        <w:ind w:hanging="360"/>
      </w:pPr>
      <w:rPr/>
    </w:lvl>
    <w:lvl w:ilvl="7">
      <w:numFmt w:val="lowerLetter"/>
      <w:lvlText w:val="%8."/>
      <w:start w:val="1"/>
      <w:lvlJc w:val="left"/>
      <w:pPr>
        <w:ind w:left="5760"/>
        <w:ind w:hanging="360"/>
      </w:pPr>
      <w:rPr/>
    </w:lvl>
    <w:lvl w:ilvl="8">
      <w:numFmt w:val="lowerRoman"/>
      <w:lvlText w:val="%9."/>
      <w:start w:val="1"/>
      <w:lvlJc w:val="right"/>
      <w:pPr>
        <w:ind w:left="6480"/>
        <w:ind w:hanging="180"/>
      </w:pPr>
      <w:rPr/>
    </w:lvl>
  </w:abstractNum>
  <w:abstractNum w:abstractNumId="462767951">
    <w:multiLevelType w:val="hybridMultilevel"/>
    <w:lvl w:ilvl="0">
      <w:numFmt w:val="bullet"/>
      <w:lvlText w:val="o"/>
      <w:start w:val="0"/>
      <w:lvlJc w:val="left"/>
      <w:pPr>
        <w:ind w:left="720"/>
        <w:ind w:hanging="360"/>
      </w:pPr>
      <w:rPr>
        <w:rFonts w:ascii="Courier New" w:hAnsi="Courier New"/>
      </w:rPr>
    </w:lvl>
    <w:lvl w:ilvl="1">
      <w:numFmt w:val="bullet"/>
      <w:lvlText w:val="o"/>
      <w:start w:val="0"/>
      <w:lvlJc w:val="left"/>
      <w:pPr>
        <w:ind w:left="1440"/>
        <w:ind w:hanging="360"/>
      </w:pPr>
      <w:rPr>
        <w:rFonts w:ascii="Courier New" w:hAnsi="Courier New"/>
      </w:rPr>
    </w:lvl>
    <w:lvl w:ilvl="2">
      <w:numFmt w:val="bullet"/>
      <w:lvlText w:val=""/>
      <w:start w:val="0"/>
      <w:lvlJc w:val="left"/>
      <w:pPr>
        <w:ind w:left="2160"/>
        <w:ind w:hanging="360"/>
      </w:pPr>
      <w:rPr>
        <w:rFonts w:ascii="Wingdings" w:hAnsi="Wingdings"/>
      </w:rPr>
    </w:lvl>
    <w:lvl w:ilvl="3">
      <w:numFmt w:val="bullet"/>
      <w:lvlText w:val=""/>
      <w:start w:val="0"/>
      <w:lvlJc w:val="left"/>
      <w:pPr>
        <w:ind w:left="2880"/>
        <w:ind w:hanging="360"/>
      </w:pPr>
      <w:rPr>
        <w:rFonts w:ascii="Symbol" w:hAnsi="Symbol"/>
      </w:rPr>
    </w:lvl>
    <w:lvl w:ilvl="4">
      <w:numFmt w:val="bullet"/>
      <w:lvlText w:val="o"/>
      <w:start w:val="0"/>
      <w:lvlJc w:val="left"/>
      <w:pPr>
        <w:ind w:left="3600"/>
        <w:ind w:hanging="360"/>
      </w:pPr>
      <w:rPr>
        <w:rFonts w:ascii="Courier New" w:hAnsi="Courier New"/>
      </w:rPr>
    </w:lvl>
    <w:lvl w:ilvl="5">
      <w:numFmt w:val="bullet"/>
      <w:lvlText w:val=""/>
      <w:start w:val="0"/>
      <w:lvlJc w:val="left"/>
      <w:pPr>
        <w:ind w:left="4320"/>
        <w:ind w:hanging="360"/>
      </w:pPr>
      <w:rPr>
        <w:rFonts w:ascii="Wingdings" w:hAnsi="Wingdings"/>
      </w:rPr>
    </w:lvl>
    <w:lvl w:ilvl="6">
      <w:numFmt w:val="bullet"/>
      <w:lvlText w:val=""/>
      <w:start w:val="0"/>
      <w:lvlJc w:val="left"/>
      <w:pPr>
        <w:ind w:left="5040"/>
        <w:ind w:hanging="360"/>
      </w:pPr>
      <w:rPr>
        <w:rFonts w:ascii="Symbol" w:hAnsi="Symbol"/>
      </w:rPr>
    </w:lvl>
    <w:lvl w:ilvl="7">
      <w:numFmt w:val="bullet"/>
      <w:lvlText w:val="o"/>
      <w:start w:val="0"/>
      <w:lvlJc w:val="left"/>
      <w:pPr>
        <w:ind w:left="5760"/>
        <w:ind w:hanging="360"/>
      </w:pPr>
      <w:rPr>
        <w:rFonts w:ascii="Courier New" w:hAnsi="Courier New"/>
      </w:rPr>
    </w:lvl>
    <w:lvl w:ilvl="8">
      <w:numFmt w:val="bullet"/>
      <w:lvlText w:val=""/>
      <w:start w:val="0"/>
      <w:lvlJc w:val="left"/>
      <w:pPr>
        <w:ind w:left="6480"/>
        <w:ind w:hanging="360"/>
      </w:pPr>
      <w:rPr>
        <w:rFonts w:ascii="Wingdings" w:hAnsi="Wingdings"/>
      </w:rPr>
    </w:lvl>
  </w:abstractNum>
  <w:abstractNum w:abstractNumId="542207410">
    <w:multiLevelType w:val="hybridMultilevel"/>
    <w:lvl w:ilvl="0">
      <w:numFmt w:val="bullet"/>
      <w:lvlText w:val=""/>
      <w:start w:val="0"/>
      <w:lvlJc w:val="left"/>
      <w:pPr>
        <w:ind w:left="720"/>
        <w:ind w:hanging="360"/>
      </w:pPr>
      <w:rPr>
        <w:rFonts w:ascii="Symbol" w:hAnsi="Symbol"/>
      </w:rPr>
    </w:lvl>
    <w:lvl w:ilvl="1">
      <w:numFmt w:val="bullet"/>
      <w:lvlText w:val="o"/>
      <w:start w:val="0"/>
      <w:lvlJc w:val="left"/>
      <w:pPr>
        <w:ind w:left="1440"/>
        <w:ind w:hanging="360"/>
      </w:pPr>
      <w:rPr>
        <w:rFonts w:ascii="Courier New" w:hAnsi="Courier New"/>
      </w:rPr>
    </w:lvl>
    <w:lvl w:ilvl="2">
      <w:numFmt w:val="bullet"/>
      <w:lvlText w:val=""/>
      <w:start w:val="0"/>
      <w:lvlJc w:val="left"/>
      <w:pPr>
        <w:ind w:left="2160"/>
        <w:ind w:hanging="360"/>
      </w:pPr>
      <w:rPr>
        <w:rFonts w:ascii="Wingdings" w:hAnsi="Wingdings"/>
      </w:rPr>
    </w:lvl>
    <w:lvl w:ilvl="3">
      <w:numFmt w:val="bullet"/>
      <w:lvlText w:val=""/>
      <w:start w:val="0"/>
      <w:lvlJc w:val="left"/>
      <w:pPr>
        <w:ind w:left="2880"/>
        <w:ind w:hanging="360"/>
      </w:pPr>
      <w:rPr>
        <w:rFonts w:ascii="Symbol" w:hAnsi="Symbol"/>
      </w:rPr>
    </w:lvl>
    <w:lvl w:ilvl="4">
      <w:numFmt w:val="bullet"/>
      <w:lvlText w:val="o"/>
      <w:start w:val="0"/>
      <w:lvlJc w:val="left"/>
      <w:pPr>
        <w:ind w:left="3600"/>
        <w:ind w:hanging="360"/>
      </w:pPr>
      <w:rPr>
        <w:rFonts w:ascii="Courier New" w:hAnsi="Courier New"/>
      </w:rPr>
    </w:lvl>
    <w:lvl w:ilvl="5">
      <w:numFmt w:val="bullet"/>
      <w:lvlText w:val=""/>
      <w:start w:val="0"/>
      <w:lvlJc w:val="left"/>
      <w:pPr>
        <w:ind w:left="4320"/>
        <w:ind w:hanging="360"/>
      </w:pPr>
      <w:rPr>
        <w:rFonts w:ascii="Wingdings" w:hAnsi="Wingdings"/>
      </w:rPr>
    </w:lvl>
    <w:lvl w:ilvl="6">
      <w:numFmt w:val="bullet"/>
      <w:lvlText w:val=""/>
      <w:start w:val="0"/>
      <w:lvlJc w:val="left"/>
      <w:pPr>
        <w:ind w:left="5040"/>
        <w:ind w:hanging="360"/>
      </w:pPr>
      <w:rPr>
        <w:rFonts w:ascii="Symbol" w:hAnsi="Symbol"/>
      </w:rPr>
    </w:lvl>
    <w:lvl w:ilvl="7">
      <w:numFmt w:val="bullet"/>
      <w:lvlText w:val="o"/>
      <w:start w:val="0"/>
      <w:lvlJc w:val="left"/>
      <w:pPr>
        <w:ind w:left="5760"/>
        <w:ind w:hanging="360"/>
      </w:pPr>
      <w:rPr>
        <w:rFonts w:ascii="Courier New" w:hAnsi="Courier New"/>
      </w:rPr>
    </w:lvl>
    <w:lvl w:ilvl="8">
      <w:numFmt w:val="bullet"/>
      <w:lvlText w:val=""/>
      <w:start w:val="0"/>
      <w:lvlJc w:val="left"/>
      <w:pPr>
        <w:ind w:left="6480"/>
        <w:ind w:hanging="360"/>
      </w:pPr>
      <w:rPr>
        <w:rFonts w:ascii="Wingdings" w:hAnsi="Wingdings"/>
      </w:rPr>
    </w:lvl>
  </w:abstractNum>
  <w:abstractNum w:abstractNumId="653724331">
    <w:multiLevelType w:val="hybridMultilevel"/>
    <w:lvl w:ilvl="0">
      <w:numFmt w:val="bullet"/>
      <w:lvlText w:val="o"/>
      <w:start w:val="0"/>
      <w:lvlJc w:val="left"/>
      <w:pPr>
        <w:ind w:left="720"/>
        <w:ind w:hanging="360"/>
      </w:pPr>
      <w:rPr>
        <w:rFonts w:ascii="Courier New" w:hAnsi="Courier New"/>
      </w:rPr>
    </w:lvl>
    <w:lvl w:ilvl="1">
      <w:numFmt w:val="bullet"/>
      <w:lvlText w:val="o"/>
      <w:start w:val="0"/>
      <w:lvlJc w:val="left"/>
      <w:pPr>
        <w:ind w:left="1440"/>
        <w:ind w:hanging="360"/>
      </w:pPr>
      <w:rPr>
        <w:rFonts w:ascii="Courier New" w:hAnsi="Courier New"/>
      </w:rPr>
    </w:lvl>
    <w:lvl w:ilvl="2">
      <w:numFmt w:val="bullet"/>
      <w:lvlText w:val=""/>
      <w:start w:val="0"/>
      <w:lvlJc w:val="left"/>
      <w:pPr>
        <w:ind w:left="2160"/>
        <w:ind w:hanging="360"/>
      </w:pPr>
      <w:rPr>
        <w:rFonts w:ascii="Wingdings" w:hAnsi="Wingdings"/>
      </w:rPr>
    </w:lvl>
    <w:lvl w:ilvl="3">
      <w:numFmt w:val="bullet"/>
      <w:lvlText w:val=""/>
      <w:start w:val="0"/>
      <w:lvlJc w:val="left"/>
      <w:pPr>
        <w:ind w:left="2880"/>
        <w:ind w:hanging="360"/>
      </w:pPr>
      <w:rPr>
        <w:rFonts w:ascii="Symbol" w:hAnsi="Symbol"/>
      </w:rPr>
    </w:lvl>
    <w:lvl w:ilvl="4">
      <w:numFmt w:val="bullet"/>
      <w:lvlText w:val="o"/>
      <w:start w:val="0"/>
      <w:lvlJc w:val="left"/>
      <w:pPr>
        <w:ind w:left="3600"/>
        <w:ind w:hanging="360"/>
      </w:pPr>
      <w:rPr>
        <w:rFonts w:ascii="Courier New" w:hAnsi="Courier New"/>
      </w:rPr>
    </w:lvl>
    <w:lvl w:ilvl="5">
      <w:numFmt w:val="bullet"/>
      <w:lvlText w:val=""/>
      <w:start w:val="0"/>
      <w:lvlJc w:val="left"/>
      <w:pPr>
        <w:ind w:left="4320"/>
        <w:ind w:hanging="360"/>
      </w:pPr>
      <w:rPr>
        <w:rFonts w:ascii="Wingdings" w:hAnsi="Wingdings"/>
      </w:rPr>
    </w:lvl>
    <w:lvl w:ilvl="6">
      <w:numFmt w:val="bullet"/>
      <w:lvlText w:val=""/>
      <w:start w:val="0"/>
      <w:lvlJc w:val="left"/>
      <w:pPr>
        <w:ind w:left="5040"/>
        <w:ind w:hanging="360"/>
      </w:pPr>
      <w:rPr>
        <w:rFonts w:ascii="Symbol" w:hAnsi="Symbol"/>
      </w:rPr>
    </w:lvl>
    <w:lvl w:ilvl="7">
      <w:numFmt w:val="bullet"/>
      <w:lvlText w:val="o"/>
      <w:start w:val="0"/>
      <w:lvlJc w:val="left"/>
      <w:pPr>
        <w:ind w:left="5760"/>
        <w:ind w:hanging="360"/>
      </w:pPr>
      <w:rPr>
        <w:rFonts w:ascii="Courier New" w:hAnsi="Courier New"/>
      </w:rPr>
    </w:lvl>
    <w:lvl w:ilvl="8">
      <w:numFmt w:val="bullet"/>
      <w:lvlText w:val=""/>
      <w:start w:val="0"/>
      <w:lvlJc w:val="left"/>
      <w:pPr>
        <w:ind w:left="6480"/>
        <w:ind w:hanging="360"/>
      </w:pPr>
      <w:rPr>
        <w:rFonts w:ascii="Wingdings" w:hAnsi="Wingdings"/>
      </w:rPr>
    </w:lvl>
  </w:abstractNum>
  <w:abstractNum w:abstractNumId="816455930">
    <w:multiLevelType w:val="hybridMultilevel"/>
    <w:lvl w:ilvl="0">
      <w:numFmt w:val="decimal"/>
      <w:lvlText w:val="%1."/>
      <w:start w:val="1"/>
      <w:lvlJc w:val="left"/>
      <w:pPr>
        <w:ind w:left="720"/>
        <w:ind w:hanging="360"/>
      </w:pPr>
      <w:rPr/>
    </w:lvl>
    <w:lvl w:ilvl="1">
      <w:numFmt w:val="decimal"/>
      <w:lvlText w:val="%2."/>
      <w:start w:val="1"/>
      <w:lvlJc w:val="left"/>
      <w:pPr>
        <w:ind w:left="1440"/>
        <w:ind w:hanging="360"/>
      </w:pPr>
      <w:rPr/>
    </w:lvl>
    <w:lvl w:ilvl="2">
      <w:numFmt w:val="decimal"/>
      <w:lvlText w:val="%3."/>
      <w:start w:val="1"/>
      <w:lvlJc w:val="left"/>
      <w:pPr>
        <w:ind w:left="2160"/>
        <w:ind w:hanging="360"/>
      </w:pPr>
      <w:rPr/>
    </w:lvl>
    <w:lvl w:ilvl="3">
      <w:numFmt w:val="decimal"/>
      <w:lvlText w:val="%4."/>
      <w:start w:val="1"/>
      <w:lvlJc w:val="left"/>
      <w:pPr>
        <w:ind w:left="2880"/>
        <w:ind w:hanging="360"/>
      </w:pPr>
      <w:rPr/>
    </w:lvl>
    <w:lvl w:ilvl="4">
      <w:numFmt w:val="decimal"/>
      <w:lvlText w:val="%5."/>
      <w:start w:val="1"/>
      <w:lvlJc w:val="left"/>
      <w:pPr>
        <w:ind w:left="3600"/>
        <w:ind w:hanging="360"/>
      </w:pPr>
      <w:rPr/>
    </w:lvl>
    <w:lvl w:ilvl="5">
      <w:numFmt w:val="decimal"/>
      <w:lvlText w:val="%6."/>
      <w:start w:val="1"/>
      <w:lvlJc w:val="left"/>
      <w:pPr>
        <w:ind w:left="4320"/>
        <w:ind w:hanging="360"/>
      </w:pPr>
      <w:rPr/>
    </w:lvl>
    <w:lvl w:ilvl="6">
      <w:numFmt w:val="decimal"/>
      <w:lvlText w:val="%7."/>
      <w:start w:val="1"/>
      <w:lvlJc w:val="left"/>
      <w:pPr>
        <w:ind w:left="5040"/>
        <w:ind w:hanging="360"/>
      </w:pPr>
      <w:rPr/>
    </w:lvl>
    <w:lvl w:ilvl="7">
      <w:numFmt w:val="decimal"/>
      <w:lvlText w:val="%8."/>
      <w:start w:val="1"/>
      <w:lvlJc w:val="left"/>
      <w:pPr>
        <w:ind w:left="5760"/>
        <w:ind w:hanging="360"/>
      </w:pPr>
      <w:rPr/>
    </w:lvl>
    <w:lvl w:ilvl="8">
      <w:numFmt w:val="decimal"/>
      <w:lvlText w:val="%9."/>
      <w:start w:val="1"/>
      <w:lvlJc w:val="left"/>
      <w:pPr>
        <w:ind w:left="6480"/>
        <w:ind w:hanging="360"/>
      </w:pPr>
      <w:rPr/>
    </w:lvl>
  </w:abstractNum>
  <w:abstractNum w:abstractNumId="849758520">
    <w:multiLevelType w:val="hybridMultilevel"/>
    <w:lvl w:ilvl="0">
      <w:numFmt w:val="bullet"/>
      <w:lvlText w:val="o"/>
      <w:start w:val="0"/>
      <w:lvlJc w:val="left"/>
      <w:pPr>
        <w:ind w:left="720"/>
        <w:ind w:hanging="360"/>
      </w:pPr>
      <w:rPr>
        <w:rFonts w:ascii="Courier New" w:hAnsi="Courier New"/>
      </w:rPr>
    </w:lvl>
    <w:lvl w:ilvl="1">
      <w:numFmt w:val="bullet"/>
      <w:lvlText w:val="o"/>
      <w:start w:val="0"/>
      <w:lvlJc w:val="left"/>
      <w:pPr>
        <w:ind w:left="1440"/>
        <w:ind w:hanging="360"/>
      </w:pPr>
      <w:rPr>
        <w:rFonts w:ascii="Courier New" w:hAnsi="Courier New"/>
      </w:rPr>
    </w:lvl>
    <w:lvl w:ilvl="2">
      <w:numFmt w:val="bullet"/>
      <w:lvlText w:val=""/>
      <w:start w:val="0"/>
      <w:lvlJc w:val="left"/>
      <w:pPr>
        <w:ind w:left="2160"/>
        <w:ind w:hanging="360"/>
      </w:pPr>
      <w:rPr>
        <w:rFonts w:ascii="Wingdings" w:hAnsi="Wingdings"/>
      </w:rPr>
    </w:lvl>
    <w:lvl w:ilvl="3">
      <w:numFmt w:val="bullet"/>
      <w:lvlText w:val=""/>
      <w:start w:val="0"/>
      <w:lvlJc w:val="left"/>
      <w:pPr>
        <w:ind w:left="2880"/>
        <w:ind w:hanging="360"/>
      </w:pPr>
      <w:rPr>
        <w:rFonts w:ascii="Symbol" w:hAnsi="Symbol"/>
      </w:rPr>
    </w:lvl>
    <w:lvl w:ilvl="4">
      <w:numFmt w:val="bullet"/>
      <w:lvlText w:val="o"/>
      <w:start w:val="0"/>
      <w:lvlJc w:val="left"/>
      <w:pPr>
        <w:ind w:left="3600"/>
        <w:ind w:hanging="360"/>
      </w:pPr>
      <w:rPr>
        <w:rFonts w:ascii="Courier New" w:hAnsi="Courier New"/>
      </w:rPr>
    </w:lvl>
    <w:lvl w:ilvl="5">
      <w:numFmt w:val="bullet"/>
      <w:lvlText w:val=""/>
      <w:start w:val="0"/>
      <w:lvlJc w:val="left"/>
      <w:pPr>
        <w:ind w:left="4320"/>
        <w:ind w:hanging="360"/>
      </w:pPr>
      <w:rPr>
        <w:rFonts w:ascii="Wingdings" w:hAnsi="Wingdings"/>
      </w:rPr>
    </w:lvl>
    <w:lvl w:ilvl="6">
      <w:numFmt w:val="bullet"/>
      <w:lvlText w:val=""/>
      <w:start w:val="0"/>
      <w:lvlJc w:val="left"/>
      <w:pPr>
        <w:ind w:left="5040"/>
        <w:ind w:hanging="360"/>
      </w:pPr>
      <w:rPr>
        <w:rFonts w:ascii="Symbol" w:hAnsi="Symbol"/>
      </w:rPr>
    </w:lvl>
    <w:lvl w:ilvl="7">
      <w:numFmt w:val="bullet"/>
      <w:lvlText w:val="o"/>
      <w:start w:val="0"/>
      <w:lvlJc w:val="left"/>
      <w:pPr>
        <w:ind w:left="5760"/>
        <w:ind w:hanging="360"/>
      </w:pPr>
      <w:rPr>
        <w:rFonts w:ascii="Courier New" w:hAnsi="Courier New"/>
      </w:rPr>
    </w:lvl>
    <w:lvl w:ilvl="8">
      <w:numFmt w:val="bullet"/>
      <w:lvlText w:val=""/>
      <w:start w:val="0"/>
      <w:lvlJc w:val="left"/>
      <w:pPr>
        <w:ind w:left="6480"/>
        <w:ind w:hanging="360"/>
      </w:pPr>
      <w:rPr>
        <w:rFonts w:ascii="Wingdings" w:hAnsi="Wingdings"/>
      </w:rPr>
    </w:lvl>
  </w:abstractNum>
  <w:abstractNum w:abstractNumId="1074817498">
    <w:multiLevelType w:val="hybridMultilevel"/>
    <w:lvl w:ilvl="0">
      <w:numFmt w:val="bullet"/>
      <w:lvlText w:val=""/>
      <w:start w:val="0"/>
      <w:lvlJc w:val="left"/>
      <w:pPr>
        <w:ind w:left="2250"/>
        <w:ind w:hanging="360"/>
      </w:pPr>
      <w:rPr>
        <w:rFonts w:ascii="Symbol" w:hAnsi="Symbol"/>
      </w:rPr>
    </w:lvl>
    <w:lvl w:ilvl="1">
      <w:numFmt w:val="bullet"/>
      <w:lvlText w:val=""/>
      <w:start w:val="0"/>
      <w:lvlJc w:val="left"/>
      <w:pPr>
        <w:ind w:left="1080"/>
        <w:ind w:hanging="360"/>
      </w:pPr>
      <w:rPr>
        <w:rFonts w:ascii="Symbol" w:hAnsi="Symbol"/>
      </w:rPr>
    </w:lvl>
    <w:lvl w:ilvl="2">
      <w:numFmt w:val="bullet"/>
      <w:lvlText w:val=""/>
      <w:start w:val="0"/>
      <w:lvlJc w:val="left"/>
      <w:pPr>
        <w:ind w:left="1800"/>
        <w:ind w:hanging="360"/>
      </w:pPr>
      <w:rPr>
        <w:rFonts w:ascii="Wingdings" w:hAnsi="Wingdings"/>
      </w:rPr>
    </w:lvl>
    <w:lvl w:ilvl="3">
      <w:numFmt w:val="bullet"/>
      <w:lvlText w:val=""/>
      <w:start w:val="0"/>
      <w:lvlJc w:val="left"/>
      <w:pPr>
        <w:ind w:left="2520"/>
        <w:ind w:hanging="360"/>
      </w:pPr>
      <w:rPr>
        <w:rFonts w:ascii="Symbol" w:hAnsi="Symbol"/>
      </w:rPr>
    </w:lvl>
    <w:lvl w:ilvl="4">
      <w:numFmt w:val="bullet"/>
      <w:lvlText w:val="o"/>
      <w:start w:val="0"/>
      <w:lvlJc w:val="left"/>
      <w:pPr>
        <w:ind w:left="3240"/>
        <w:ind w:hanging="360"/>
      </w:pPr>
      <w:rPr>
        <w:rFonts w:ascii="Courier New" w:hAnsi="Courier New"/>
      </w:rPr>
    </w:lvl>
    <w:lvl w:ilvl="5">
      <w:numFmt w:val="bullet"/>
      <w:lvlText w:val=""/>
      <w:start w:val="0"/>
      <w:lvlJc w:val="left"/>
      <w:pPr>
        <w:ind w:left="3960"/>
        <w:ind w:hanging="360"/>
      </w:pPr>
      <w:rPr>
        <w:rFonts w:ascii="Wingdings" w:hAnsi="Wingdings"/>
      </w:rPr>
    </w:lvl>
    <w:lvl w:ilvl="6">
      <w:numFmt w:val="bullet"/>
      <w:lvlText w:val=""/>
      <w:start w:val="0"/>
      <w:lvlJc w:val="left"/>
      <w:pPr>
        <w:ind w:left="4680"/>
        <w:ind w:hanging="360"/>
      </w:pPr>
      <w:rPr>
        <w:rFonts w:ascii="Symbol" w:hAnsi="Symbol"/>
      </w:rPr>
    </w:lvl>
    <w:lvl w:ilvl="7">
      <w:numFmt w:val="bullet"/>
      <w:lvlText w:val="o"/>
      <w:start w:val="0"/>
      <w:lvlJc w:val="left"/>
      <w:pPr>
        <w:ind w:left="5400"/>
        <w:ind w:hanging="360"/>
      </w:pPr>
      <w:rPr>
        <w:rFonts w:ascii="Courier New" w:hAnsi="Courier New"/>
      </w:rPr>
    </w:lvl>
    <w:lvl w:ilvl="8">
      <w:numFmt w:val="bullet"/>
      <w:lvlText w:val=""/>
      <w:start w:val="0"/>
      <w:lvlJc w:val="left"/>
      <w:pPr>
        <w:ind w:left="6120"/>
        <w:ind w:hanging="360"/>
      </w:pPr>
      <w:rPr>
        <w:rFonts w:ascii="Wingdings" w:hAnsi="Wingdings"/>
      </w:rPr>
    </w:lvl>
  </w:abstractNum>
  <w:abstractNum w:abstractNumId="1095442658">
    <w:multiLevelType w:val="hybridMultilevel"/>
    <w:lvl w:ilvl="0">
      <w:numFmt w:val="bullet"/>
      <w:lvlText w:val="o"/>
      <w:start w:val="0"/>
      <w:lvlJc w:val="left"/>
      <w:pPr>
        <w:ind w:left="1440"/>
        <w:ind w:hanging="360"/>
      </w:pPr>
      <w:rPr>
        <w:rFonts w:ascii="Courier New" w:hAnsi="Courier New"/>
      </w:rPr>
    </w:lvl>
    <w:lvl w:ilvl="1">
      <w:numFmt w:val="decimal"/>
      <w:lvlText w:val="%2."/>
      <w:start w:val="4"/>
      <w:lvlJc w:val="left"/>
      <w:pPr>
        <w:ind w:left="2160"/>
        <w:ind w:hanging="360"/>
      </w:pPr>
      <w:rPr/>
    </w:lvl>
    <w:lvl w:ilvl="2">
      <w:numFmt w:val="lowerRoman"/>
      <w:lvlText w:val="%3."/>
      <w:start w:val="1"/>
      <w:lvlJc w:val="right"/>
      <w:pPr>
        <w:ind w:left="2880"/>
        <w:ind w:hanging="180"/>
      </w:pPr>
      <w:rPr/>
    </w:lvl>
    <w:lvl w:ilvl="3">
      <w:numFmt w:val="decimal"/>
      <w:lvlText w:val="%4."/>
      <w:start w:val="1"/>
      <w:lvlJc w:val="left"/>
      <w:pPr>
        <w:ind w:left="3600"/>
        <w:ind w:hanging="360"/>
      </w:pPr>
      <w:rPr/>
    </w:lvl>
    <w:lvl w:ilvl="4">
      <w:numFmt w:val="lowerLetter"/>
      <w:lvlText w:val="%5."/>
      <w:start w:val="1"/>
      <w:lvlJc w:val="left"/>
      <w:pPr>
        <w:ind w:left="4320"/>
        <w:ind w:hanging="360"/>
      </w:pPr>
      <w:rPr/>
    </w:lvl>
    <w:lvl w:ilvl="5">
      <w:numFmt w:val="lowerRoman"/>
      <w:lvlText w:val="%6."/>
      <w:start w:val="1"/>
      <w:lvlJc w:val="right"/>
      <w:pPr>
        <w:ind w:left="5040"/>
        <w:ind w:hanging="180"/>
      </w:pPr>
      <w:rPr/>
    </w:lvl>
    <w:lvl w:ilvl="6">
      <w:numFmt w:val="decimal"/>
      <w:lvlText w:val="%7."/>
      <w:start w:val="1"/>
      <w:lvlJc w:val="left"/>
      <w:pPr>
        <w:ind w:left="5760"/>
        <w:ind w:hanging="360"/>
      </w:pPr>
      <w:rPr/>
    </w:lvl>
    <w:lvl w:ilvl="7">
      <w:numFmt w:val="lowerLetter"/>
      <w:lvlText w:val="%8."/>
      <w:start w:val="1"/>
      <w:lvlJc w:val="left"/>
      <w:pPr>
        <w:ind w:left="6480"/>
        <w:ind w:hanging="360"/>
      </w:pPr>
      <w:rPr/>
    </w:lvl>
    <w:lvl w:ilvl="8">
      <w:numFmt w:val="lowerRoman"/>
      <w:lvlText w:val="%9."/>
      <w:start w:val="1"/>
      <w:lvlJc w:val="right"/>
      <w:pPr>
        <w:ind w:left="7200"/>
        <w:ind w:hanging="180"/>
      </w:pPr>
      <w:rPr/>
    </w:lvl>
  </w:abstractNum>
  <w:abstractNum w:abstractNumId="1394767396">
    <w:multiLevelType w:val="hybridMultilevel"/>
    <w:lvl w:ilvl="0">
      <w:numFmt w:val="bullet"/>
      <w:lvlText w:val="o"/>
      <w:start w:val="0"/>
      <w:lvlJc w:val="left"/>
      <w:pPr>
        <w:ind w:left="1440"/>
        <w:ind w:hanging="360"/>
      </w:pPr>
      <w:rPr>
        <w:rFonts w:ascii="Courier New" w:hAnsi="Courier New"/>
      </w:rPr>
    </w:lvl>
    <w:lvl w:ilvl="1">
      <w:numFmt w:val="bullet"/>
      <w:lvlText w:val="o"/>
      <w:start w:val="0"/>
      <w:lvlJc w:val="left"/>
      <w:pPr>
        <w:ind w:left="2160"/>
        <w:ind w:hanging="360"/>
      </w:pPr>
      <w:rPr>
        <w:rFonts w:ascii="Courier New" w:hAnsi="Courier New"/>
      </w:rPr>
    </w:lvl>
    <w:lvl w:ilvl="2">
      <w:numFmt w:val="bullet"/>
      <w:lvlText w:val=""/>
      <w:start w:val="0"/>
      <w:lvlJc w:val="left"/>
      <w:pPr>
        <w:ind w:left="2880"/>
        <w:ind w:hanging="360"/>
      </w:pPr>
      <w:rPr>
        <w:rFonts w:ascii="Wingdings" w:hAnsi="Wingdings"/>
      </w:rPr>
    </w:lvl>
    <w:lvl w:ilvl="3">
      <w:numFmt w:val="bullet"/>
      <w:lvlText w:val=""/>
      <w:start w:val="0"/>
      <w:lvlJc w:val="left"/>
      <w:pPr>
        <w:ind w:left="3600"/>
        <w:ind w:hanging="360"/>
      </w:pPr>
      <w:rPr>
        <w:rFonts w:ascii="Symbol" w:hAnsi="Symbol"/>
      </w:rPr>
    </w:lvl>
    <w:lvl w:ilvl="4">
      <w:numFmt w:val="bullet"/>
      <w:lvlText w:val="o"/>
      <w:start w:val="0"/>
      <w:lvlJc w:val="left"/>
      <w:pPr>
        <w:ind w:left="4320"/>
        <w:ind w:hanging="360"/>
      </w:pPr>
      <w:rPr>
        <w:rFonts w:ascii="Courier New" w:hAnsi="Courier New"/>
      </w:rPr>
    </w:lvl>
    <w:lvl w:ilvl="5">
      <w:numFmt w:val="bullet"/>
      <w:lvlText w:val=""/>
      <w:start w:val="0"/>
      <w:lvlJc w:val="left"/>
      <w:pPr>
        <w:ind w:left="5040"/>
        <w:ind w:hanging="360"/>
      </w:pPr>
      <w:rPr>
        <w:rFonts w:ascii="Wingdings" w:hAnsi="Wingdings"/>
      </w:rPr>
    </w:lvl>
    <w:lvl w:ilvl="6">
      <w:numFmt w:val="bullet"/>
      <w:lvlText w:val=""/>
      <w:start w:val="0"/>
      <w:lvlJc w:val="left"/>
      <w:pPr>
        <w:ind w:left="5760"/>
        <w:ind w:hanging="360"/>
      </w:pPr>
      <w:rPr>
        <w:rFonts w:ascii="Symbol" w:hAnsi="Symbol"/>
      </w:rPr>
    </w:lvl>
    <w:lvl w:ilvl="7">
      <w:numFmt w:val="bullet"/>
      <w:lvlText w:val="o"/>
      <w:start w:val="0"/>
      <w:lvlJc w:val="left"/>
      <w:pPr>
        <w:ind w:left="6480"/>
        <w:ind w:hanging="360"/>
      </w:pPr>
      <w:rPr>
        <w:rFonts w:ascii="Courier New" w:hAnsi="Courier New"/>
      </w:rPr>
    </w:lvl>
    <w:lvl w:ilvl="8">
      <w:numFmt w:val="bullet"/>
      <w:lvlText w:val=""/>
      <w:start w:val="0"/>
      <w:lvlJc w:val="left"/>
      <w:pPr>
        <w:ind w:left="7200"/>
        <w:ind w:hanging="360"/>
      </w:pPr>
      <w:rPr>
        <w:rFonts w:ascii="Wingdings" w:hAnsi="Wingdings"/>
      </w:rPr>
    </w:lvl>
  </w:abstractNum>
  <w:abstractNum w:abstractNumId="1560941909">
    <w:multiLevelType w:val="hybridMultilevel"/>
    <w:lvl w:ilvl="0">
      <w:numFmt w:val="bullet"/>
      <w:lvlText w:val="o"/>
      <w:start w:val="0"/>
      <w:lvlJc w:val="left"/>
      <w:pPr>
        <w:ind w:left="720"/>
        <w:ind w:hanging="360"/>
      </w:pPr>
      <w:rPr>
        <w:rFonts w:ascii="Courier New" w:hAnsi="Courier New"/>
      </w:rPr>
    </w:lvl>
    <w:lvl w:ilvl="1">
      <w:numFmt w:val="bullet"/>
      <w:lvlText w:val="o"/>
      <w:start w:val="0"/>
      <w:lvlJc w:val="left"/>
      <w:pPr>
        <w:ind w:left="1440"/>
        <w:ind w:hanging="360"/>
      </w:pPr>
      <w:rPr>
        <w:rFonts w:ascii="Courier New" w:hAnsi="Courier New"/>
      </w:rPr>
    </w:lvl>
    <w:lvl w:ilvl="2">
      <w:numFmt w:val="bullet"/>
      <w:lvlText w:val=""/>
      <w:start w:val="0"/>
      <w:lvlJc w:val="left"/>
      <w:pPr>
        <w:ind w:left="2160"/>
        <w:ind w:hanging="360"/>
      </w:pPr>
      <w:rPr>
        <w:rFonts w:ascii="Wingdings" w:hAnsi="Wingdings"/>
      </w:rPr>
    </w:lvl>
    <w:lvl w:ilvl="3">
      <w:numFmt w:val="bullet"/>
      <w:lvlText w:val=""/>
      <w:start w:val="0"/>
      <w:lvlJc w:val="left"/>
      <w:pPr>
        <w:ind w:left="2880"/>
        <w:ind w:hanging="360"/>
      </w:pPr>
      <w:rPr>
        <w:rFonts w:ascii="Symbol" w:hAnsi="Symbol"/>
      </w:rPr>
    </w:lvl>
    <w:lvl w:ilvl="4">
      <w:numFmt w:val="bullet"/>
      <w:lvlText w:val="o"/>
      <w:start w:val="0"/>
      <w:lvlJc w:val="left"/>
      <w:pPr>
        <w:ind w:left="3600"/>
        <w:ind w:hanging="360"/>
      </w:pPr>
      <w:rPr>
        <w:rFonts w:ascii="Courier New" w:hAnsi="Courier New"/>
      </w:rPr>
    </w:lvl>
    <w:lvl w:ilvl="5">
      <w:numFmt w:val="bullet"/>
      <w:lvlText w:val=""/>
      <w:start w:val="0"/>
      <w:lvlJc w:val="left"/>
      <w:pPr>
        <w:ind w:left="4320"/>
        <w:ind w:hanging="360"/>
      </w:pPr>
      <w:rPr>
        <w:rFonts w:ascii="Wingdings" w:hAnsi="Wingdings"/>
      </w:rPr>
    </w:lvl>
    <w:lvl w:ilvl="6">
      <w:numFmt w:val="bullet"/>
      <w:lvlText w:val=""/>
      <w:start w:val="0"/>
      <w:lvlJc w:val="left"/>
      <w:pPr>
        <w:ind w:left="5040"/>
        <w:ind w:hanging="360"/>
      </w:pPr>
      <w:rPr>
        <w:rFonts w:ascii="Symbol" w:hAnsi="Symbol"/>
      </w:rPr>
    </w:lvl>
    <w:lvl w:ilvl="7">
      <w:numFmt w:val="bullet"/>
      <w:lvlText w:val="o"/>
      <w:start w:val="0"/>
      <w:lvlJc w:val="left"/>
      <w:pPr>
        <w:ind w:left="5760"/>
        <w:ind w:hanging="360"/>
      </w:pPr>
      <w:rPr>
        <w:rFonts w:ascii="Courier New" w:hAnsi="Courier New"/>
      </w:rPr>
    </w:lvl>
    <w:lvl w:ilvl="8">
      <w:numFmt w:val="bullet"/>
      <w:lvlText w:val=""/>
      <w:start w:val="0"/>
      <w:lvlJc w:val="left"/>
      <w:pPr>
        <w:ind w:left="6480"/>
        <w:ind w:hanging="360"/>
      </w:pPr>
      <w:rPr>
        <w:rFonts w:ascii="Wingdings" w:hAnsi="Wingdings"/>
      </w:rPr>
    </w:lvl>
  </w:abstractNum>
  <w:abstractNum w:abstractNumId="1746688314">
    <w:multiLevelType w:val="hybridMultilevel"/>
    <w:lvl w:ilvl="0">
      <w:numFmt w:val="bullet"/>
      <w:lvlText w:val="o"/>
      <w:start w:val="0"/>
      <w:lvlJc w:val="left"/>
      <w:pPr>
        <w:ind w:left="720"/>
        <w:ind w:hanging="360"/>
      </w:pPr>
      <w:rPr>
        <w:rFonts w:ascii="Courier New" w:hAnsi="Courier New"/>
      </w:rPr>
    </w:lvl>
    <w:lvl w:ilvl="1">
      <w:numFmt w:val="bullet"/>
      <w:lvlText w:val="o"/>
      <w:start w:val="0"/>
      <w:lvlJc w:val="left"/>
      <w:pPr>
        <w:ind w:left="1440"/>
        <w:ind w:hanging="360"/>
      </w:pPr>
      <w:rPr>
        <w:rFonts w:ascii="Courier New" w:hAnsi="Courier New"/>
      </w:rPr>
    </w:lvl>
    <w:lvl w:ilvl="2">
      <w:numFmt w:val="bullet"/>
      <w:lvlText w:val=""/>
      <w:start w:val="0"/>
      <w:lvlJc w:val="left"/>
      <w:pPr>
        <w:ind w:left="2160"/>
        <w:ind w:hanging="360"/>
      </w:pPr>
      <w:rPr>
        <w:rFonts w:ascii="Wingdings" w:hAnsi="Wingdings"/>
      </w:rPr>
    </w:lvl>
    <w:lvl w:ilvl="3">
      <w:numFmt w:val="bullet"/>
      <w:lvlText w:val=""/>
      <w:start w:val="0"/>
      <w:lvlJc w:val="left"/>
      <w:pPr>
        <w:ind w:left="2880"/>
        <w:ind w:hanging="360"/>
      </w:pPr>
      <w:rPr>
        <w:rFonts w:ascii="Symbol" w:hAnsi="Symbol"/>
      </w:rPr>
    </w:lvl>
    <w:lvl w:ilvl="4">
      <w:numFmt w:val="bullet"/>
      <w:lvlText w:val="o"/>
      <w:start w:val="0"/>
      <w:lvlJc w:val="left"/>
      <w:pPr>
        <w:ind w:left="3600"/>
        <w:ind w:hanging="360"/>
      </w:pPr>
      <w:rPr>
        <w:rFonts w:ascii="Courier New" w:hAnsi="Courier New"/>
      </w:rPr>
    </w:lvl>
    <w:lvl w:ilvl="5">
      <w:numFmt w:val="bullet"/>
      <w:lvlText w:val=""/>
      <w:start w:val="0"/>
      <w:lvlJc w:val="left"/>
      <w:pPr>
        <w:ind w:left="4320"/>
        <w:ind w:hanging="360"/>
      </w:pPr>
      <w:rPr>
        <w:rFonts w:ascii="Wingdings" w:hAnsi="Wingdings"/>
      </w:rPr>
    </w:lvl>
    <w:lvl w:ilvl="6">
      <w:numFmt w:val="bullet"/>
      <w:lvlText w:val=""/>
      <w:start w:val="0"/>
      <w:lvlJc w:val="left"/>
      <w:pPr>
        <w:ind w:left="5040"/>
        <w:ind w:hanging="360"/>
      </w:pPr>
      <w:rPr>
        <w:rFonts w:ascii="Symbol" w:hAnsi="Symbol"/>
      </w:rPr>
    </w:lvl>
    <w:lvl w:ilvl="7">
      <w:numFmt w:val="bullet"/>
      <w:lvlText w:val="o"/>
      <w:start w:val="0"/>
      <w:lvlJc w:val="left"/>
      <w:pPr>
        <w:ind w:left="5760"/>
        <w:ind w:hanging="360"/>
      </w:pPr>
      <w:rPr>
        <w:rFonts w:ascii="Courier New" w:hAnsi="Courier New"/>
      </w:rPr>
    </w:lvl>
    <w:lvl w:ilvl="8">
      <w:numFmt w:val="bullet"/>
      <w:lvlText w:val=""/>
      <w:start w:val="0"/>
      <w:lvlJc w:val="left"/>
      <w:pPr>
        <w:ind w:left="6480"/>
        <w:ind w:hanging="360"/>
      </w:pPr>
      <w:rPr>
        <w:rFonts w:ascii="Wingdings" w:hAnsi="Wingdings"/>
      </w:rPr>
    </w:lvl>
  </w:abstractNum>
  <w:abstractNum w:abstractNumId="1916747242">
    <w:multiLevelType w:val="hybridMultilevel"/>
    <w:lvl w:ilvl="0">
      <w:numFmt w:val="bullet"/>
      <w:lvlText w:val=""/>
      <w:start w:val="0"/>
      <w:lvlJc w:val="left"/>
      <w:pPr>
        <w:ind w:left="720"/>
        <w:ind w:hanging="360"/>
      </w:pPr>
      <w:rPr>
        <w:rFonts w:ascii="Symbol" w:hAnsi="Symbol"/>
      </w:rPr>
    </w:lvl>
    <w:lvl w:ilvl="1">
      <w:numFmt w:val="bullet"/>
      <w:lvlText w:val="o"/>
      <w:start w:val="0"/>
      <w:lvlJc w:val="left"/>
      <w:pPr>
        <w:ind w:left="1440"/>
        <w:ind w:hanging="360"/>
      </w:pPr>
      <w:rPr>
        <w:rFonts w:ascii="Courier New" w:hAnsi="Courier New"/>
      </w:rPr>
    </w:lvl>
    <w:lvl w:ilvl="2">
      <w:numFmt w:val="bullet"/>
      <w:lvlText w:val=""/>
      <w:start w:val="0"/>
      <w:lvlJc w:val="left"/>
      <w:pPr>
        <w:ind w:left="2160"/>
        <w:ind w:hanging="360"/>
      </w:pPr>
      <w:rPr>
        <w:rFonts w:ascii="Wingdings" w:hAnsi="Wingdings"/>
      </w:rPr>
    </w:lvl>
    <w:lvl w:ilvl="3">
      <w:numFmt w:val="bullet"/>
      <w:lvlText w:val=""/>
      <w:start w:val="0"/>
      <w:lvlJc w:val="left"/>
      <w:pPr>
        <w:ind w:left="2880"/>
        <w:ind w:hanging="360"/>
      </w:pPr>
      <w:rPr>
        <w:rFonts w:ascii="Symbol" w:hAnsi="Symbol"/>
      </w:rPr>
    </w:lvl>
    <w:lvl w:ilvl="4">
      <w:numFmt w:val="bullet"/>
      <w:lvlText w:val="o"/>
      <w:start w:val="0"/>
      <w:lvlJc w:val="left"/>
      <w:pPr>
        <w:ind w:left="3600"/>
        <w:ind w:hanging="360"/>
      </w:pPr>
      <w:rPr>
        <w:rFonts w:ascii="Courier New" w:hAnsi="Courier New"/>
      </w:rPr>
    </w:lvl>
    <w:lvl w:ilvl="5">
      <w:numFmt w:val="bullet"/>
      <w:lvlText w:val=""/>
      <w:start w:val="0"/>
      <w:lvlJc w:val="left"/>
      <w:pPr>
        <w:ind w:left="4320"/>
        <w:ind w:hanging="360"/>
      </w:pPr>
      <w:rPr>
        <w:rFonts w:ascii="Wingdings" w:hAnsi="Wingdings"/>
      </w:rPr>
    </w:lvl>
    <w:lvl w:ilvl="6">
      <w:numFmt w:val="bullet"/>
      <w:lvlText w:val=""/>
      <w:start w:val="0"/>
      <w:lvlJc w:val="left"/>
      <w:pPr>
        <w:ind w:left="5040"/>
        <w:ind w:hanging="360"/>
      </w:pPr>
      <w:rPr>
        <w:rFonts w:ascii="Symbol" w:hAnsi="Symbol"/>
      </w:rPr>
    </w:lvl>
    <w:lvl w:ilvl="7">
      <w:numFmt w:val="bullet"/>
      <w:lvlText w:val="o"/>
      <w:start w:val="0"/>
      <w:lvlJc w:val="left"/>
      <w:pPr>
        <w:ind w:left="5760"/>
        <w:ind w:hanging="360"/>
      </w:pPr>
      <w:rPr>
        <w:rFonts w:ascii="Courier New" w:hAnsi="Courier New"/>
      </w:rPr>
    </w:lvl>
    <w:lvl w:ilvl="8">
      <w:numFmt w:val="bullet"/>
      <w:lvlText w:val=""/>
      <w:start w:val="0"/>
      <w:lvlJc w:val="left"/>
      <w:pPr>
        <w:ind w:left="6480"/>
        <w:ind w:hanging="360"/>
      </w:pPr>
      <w:rPr>
        <w:rFonts w:ascii="Wingdings" w:hAnsi="Wingdings"/>
      </w:rPr>
    </w:lvl>
  </w:abstractNum>
  <w:abstractNum w:abstractNumId="2017029129">
    <w:multiLevelType w:val="hybridMultilevel"/>
    <w:lvl w:ilvl="0">
      <w:numFmt w:val="bullet"/>
      <w:lvlText w:val="o"/>
      <w:start w:val="0"/>
      <w:lvlJc w:val="left"/>
      <w:pPr>
        <w:ind w:left="1440"/>
        <w:ind w:hanging="360"/>
      </w:pPr>
      <w:rPr>
        <w:rFonts w:ascii="Courier New" w:hAnsi="Courier New"/>
      </w:rPr>
    </w:lvl>
    <w:lvl w:ilvl="1">
      <w:numFmt w:val="bullet"/>
      <w:lvlText w:val="o"/>
      <w:start w:val="0"/>
      <w:lvlJc w:val="left"/>
      <w:pPr>
        <w:ind w:left="2160"/>
        <w:ind w:hanging="360"/>
      </w:pPr>
      <w:rPr>
        <w:rFonts w:ascii="Courier New" w:hAnsi="Courier New"/>
      </w:rPr>
    </w:lvl>
    <w:lvl w:ilvl="2">
      <w:numFmt w:val="bullet"/>
      <w:lvlText w:val=""/>
      <w:start w:val="0"/>
      <w:lvlJc w:val="left"/>
      <w:pPr>
        <w:ind w:left="2880"/>
        <w:ind w:hanging="360"/>
      </w:pPr>
      <w:rPr>
        <w:rFonts w:ascii="Wingdings" w:hAnsi="Wingdings"/>
      </w:rPr>
    </w:lvl>
    <w:lvl w:ilvl="3">
      <w:numFmt w:val="bullet"/>
      <w:lvlText w:val=""/>
      <w:start w:val="0"/>
      <w:lvlJc w:val="left"/>
      <w:pPr>
        <w:ind w:left="3600"/>
        <w:ind w:hanging="360"/>
      </w:pPr>
      <w:rPr>
        <w:rFonts w:ascii="Symbol" w:hAnsi="Symbol"/>
      </w:rPr>
    </w:lvl>
    <w:lvl w:ilvl="4">
      <w:numFmt w:val="bullet"/>
      <w:lvlText w:val="o"/>
      <w:start w:val="0"/>
      <w:lvlJc w:val="left"/>
      <w:pPr>
        <w:ind w:left="4320"/>
        <w:ind w:hanging="360"/>
      </w:pPr>
      <w:rPr>
        <w:rFonts w:ascii="Courier New" w:hAnsi="Courier New"/>
      </w:rPr>
    </w:lvl>
    <w:lvl w:ilvl="5">
      <w:numFmt w:val="bullet"/>
      <w:lvlText w:val=""/>
      <w:start w:val="0"/>
      <w:lvlJc w:val="left"/>
      <w:pPr>
        <w:ind w:left="5040"/>
        <w:ind w:hanging="360"/>
      </w:pPr>
      <w:rPr>
        <w:rFonts w:ascii="Wingdings" w:hAnsi="Wingdings"/>
      </w:rPr>
    </w:lvl>
    <w:lvl w:ilvl="6">
      <w:numFmt w:val="bullet"/>
      <w:lvlText w:val=""/>
      <w:start w:val="0"/>
      <w:lvlJc w:val="left"/>
      <w:pPr>
        <w:ind w:left="5760"/>
        <w:ind w:hanging="360"/>
      </w:pPr>
      <w:rPr>
        <w:rFonts w:ascii="Symbol" w:hAnsi="Symbol"/>
      </w:rPr>
    </w:lvl>
    <w:lvl w:ilvl="7">
      <w:numFmt w:val="bullet"/>
      <w:lvlText w:val="o"/>
      <w:start w:val="0"/>
      <w:lvlJc w:val="left"/>
      <w:pPr>
        <w:ind w:left="6480"/>
        <w:ind w:hanging="360"/>
      </w:pPr>
      <w:rPr>
        <w:rFonts w:ascii="Courier New" w:hAnsi="Courier New"/>
      </w:rPr>
    </w:lvl>
    <w:lvl w:ilvl="8">
      <w:numFmt w:val="bullet"/>
      <w:lvlText w:val=""/>
      <w:start w:val="0"/>
      <w:lvlJc w:val="left"/>
      <w:pPr>
        <w:ind w:left="7200"/>
        <w:ind w:hanging="360"/>
      </w:pPr>
      <w:rPr>
        <w:rFonts w:ascii="Wingdings" w:hAnsi="Wingdings"/>
      </w:rPr>
    </w:lvl>
  </w:abstractNum>
  <w:num w:numId="20788200">
    <w:abstractNumId w:val="20788200"/>
  </w:num>
  <w:num w:numId="29844198">
    <w:abstractNumId w:val="29844198"/>
  </w:num>
  <w:num w:numId="186453729">
    <w:abstractNumId w:val="186453729"/>
  </w:num>
  <w:num w:numId="462767951">
    <w:abstractNumId w:val="462767951"/>
  </w:num>
  <w:num w:numId="542207410">
    <w:abstractNumId w:val="542207410"/>
  </w:num>
  <w:num w:numId="653724331">
    <w:abstractNumId w:val="653724331"/>
  </w:num>
  <w:num w:numId="816455930">
    <w:abstractNumId w:val="816455930"/>
  </w:num>
  <w:num w:numId="849758520">
    <w:abstractNumId w:val="849758520"/>
  </w:num>
  <w:num w:numId="1074817498">
    <w:abstractNumId w:val="1074817498"/>
  </w:num>
  <w:num w:numId="1095442658">
    <w:abstractNumId w:val="1095442658"/>
  </w:num>
  <w:num w:numId="1394767396">
    <w:abstractNumId w:val="1394767396"/>
  </w:num>
  <w:num w:numId="1560941909">
    <w:abstractNumId w:val="1560941909"/>
  </w:num>
  <w:num w:numId="1746688314">
    <w:abstractNumId w:val="1746688314"/>
  </w:num>
  <w:num w:numId="1916747242">
    <w:abstractNumId w:val="1916747242"/>
  </w:num>
  <w:num w:numId="2017029129">
    <w:abstractNumId w:val="2017029129"/>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rPr>
    </w:r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/&gt;
  </w:latentStyles>
  <w:style w:type="paragraph" w:default="1" w:styleId="Normal">
    <w:name w:val="Normal"/>
    <w:qFormat/>
    <w:pPr/>
    <w:rPr>
      <w:sz w:val="24"/>
      <w:szCs w:val="24"/>
    </w:rPr>
  </w:style>
  <w:style w:type="paragraph" w:styleId="Heading1">
    <w:name w:val="Heading 1"/>
    <w:qFormat/>
    <w:basedOn w:val="Normal"/>
    <w:pPr/>
    <w:rPr>
      <w:b/>
    </w:rPr>
  </w:style>
  <w:style w:type="paragraph" w:styleId="Heading2">
    <w:name w:val="Heading 2"/>
    <w:qFormat/>
    <w:basedOn w:val="Normal"/>
    <w:pPr>
      <w:spacing w:before="100" w:after="0"/>
    </w:pPr>
    <w:rPr>
      <w:b/>
    </w:rPr>
  </w:style>
  <w:style w:type="paragraph" w:styleId="Heading3">
    <w:name w:val="Heading 3"/>
    <w:qFormat/>
    <w:basedOn w:val="Normal"/>
    <w:pPr/>
    <w:rPr>
      <w:b/>
      <w:rFonts w:ascii="Arial" w:hAnsi="Arial"/>
      <w:sz w:val="20"/>
    </w:rPr>
  </w:style>
  <w:style w:type="character" w:styleId="DefaultParagraphFont">
    <w:name w:val="Default Paragraph Font"/>
    <w:qFormat/>
  </w:style>
  <w:style w:type="table" w:styleId="TableNormal">
    <w:name w:val="Table Normal"/>
    <w:qFormat/>
    <w:pPr/>
  </w:style>
  <w:style w:type="numbering" w:styleId="NoList">
    <w:name w:val="No List"/>
    <w:qFormat/>
  </w:style>
  <w:style w:type="character" w:styleId="Hyperlink">
    <w:name w:val="Hyperlink"/>
    <w:qFormat/>
    <w:rPr>
      <w:u w:val="single"/>
      <w:color w:val="0000FF"/>
    </w:rPr>
  </w:style>
  <w:style w:type="paragraph" w:styleId="NormalWeb">
    <w:name w:val="Normal (Web)"/>
    <w:qFormat/>
    <w:basedOn w:val="Normal"/>
    <w:pPr>
      <w:spacing w:before="0" w:after="0"/>
    </w:pPr>
    <w:rPr>
      <w:color w:val="000000"/>
    </w:rPr>
  </w:style>
  <w:style w:type="character" w:styleId="Strong">
    <w:name w:val="Strong"/>
    <w:qFormat/>
    <w:rPr>
      <w:b/>
    </w:rPr>
  </w:style>
  <w:style w:type="character" w:styleId="Emphasis">
    <w:name w:val="Emphasis"/>
    <w:qFormat/>
    <w:rPr>
      <w:i/>
    </w:rPr>
  </w:style>
  <w:style w:type="character" w:styleId="medium-normal1">
    <w:name w:val="medium-normal1"/>
    <w:qFormat/>
    <w:rPr>
      <w:b/>
      <w:i/>
      <w:rFonts w:ascii="Arial" w:hAnsi="Arial"/>
      <w:sz w:val="16"/>
      <w:szCs w:val="16"/>
    </w:rPr>
  </w:style>
  <w:style w:type="paragraph" w:styleId="BodyText">
    <w:name w:val="Body Text"/>
    <w:qFormat/>
    <w:basedOn w:val="Normal"/>
    <w:pPr>
      <w:spacing w:before="100" w:after="0"/>
    </w:pPr>
    <w:rPr>
      <w:rFonts w:ascii="Arial" w:hAnsi="Arial"/>
      <w:sz w:val="20"/>
    </w:rPr>
  </w:style>
  <w:style w:type="paragraph" w:styleId="BodyTextIndent3">
    <w:name w:val="Body Text Indent 3"/>
    <w:qFormat/>
    <w:basedOn w:val="Normal"/>
    <w:pPr>
      <w:ind w:left="720"/>
    </w:pPr>
    <w:rPr>
      <w:rFonts w:ascii="Arial" w:hAnsi="Arial"/>
      <w:sz w:val="20"/>
      <w:szCs w:val="20"/>
    </w:rPr>
  </w:style>
  <w:style w:type="paragraph" w:styleId="BodyTextIndent">
    <w:name w:val="Body Text Indent"/>
    <w:qFormat/>
    <w:basedOn w:val="Normal"/>
    <w:pPr>
      <w:ind w:left="1440"/>
    </w:pPr>
    <w:rPr>
      <w:rFonts w:ascii="Arial" w:hAnsi="Arial"/>
    </w:rPr>
  </w:style>
  <w:style w:type="paragraph" w:styleId="Header">
    <w:name w:val="Header"/>
    <w:qFormat/>
    <w:basedOn w:val="Normal"/>
    <w:pPr/>
  </w:style>
  <w:style w:type="paragraph" w:styleId="Footer">
    <w:name w:val="Footer"/>
    <w:qFormat/>
    <w:basedOn w:val="Normal"/>
    <w:pPr/>
  </w:style>
  <w:style w:type="table" w:styleId="TableGrid">
    <w:name w:val="Table Grid"/>
    <w:qFormat/>
    <w:basedOn w:val="TableNormal"/>
    <w:pPr/>
    <w:tblPr>
      <w:tblBorders>
        <w:top w:val="single" w:sz="4" w:color="000000" w:space="0"/>
        <w:bottom w:val="single" w:sz="4" w:color="000000" w:space="0"/>
        <w:left w:val="single" w:sz="4" w:color="000000" w:space="0"/>
        <w:right w:val="single" w:sz="4" w:color="000000" w:space="0"/>
        <w:insideH w:val="single" w:sz="4" w:color="000000" w:space="0"/>
        <w:insideV w:val="single" w:sz="4" w:color="000000" w:space="0"/>
      </w:tblBorders>
      <w:tblStyle w:val="TableGrid"/>
      <w:tblLook w:val="1E0"/>
    </w:tblPr>
  </w:style>
  <w:style w:type="character" w:styleId="FooterChar">
    <w:name w:val="Footer Char"/>
    <w:qFormat/>
    <w:rPr>
      <w:sz w:val="24"/>
      <w:szCs w:val="24"/>
    </w:rPr>
  </w:style>
  <w:style w:type="paragraph" w:styleId="Default">
    <w:name w:val="Default"/>
    <w:qFormat/>
    <w:pPr/>
    <w:rPr>
      <w:color w:val="000000"/>
      <w:sz w:val="24"/>
      <w:szCs w:val="24"/>
    </w:rPr>
  </w:style>
  <w:style w:type="paragraph" w:styleId="Bullets">
    <w:name w:val="Bullets"/>
    <w:qFormat/>
    <w:basedOn w:val="Normal"/>
    <w:pPr/>
    <w:rPr>
      <w:color w:val="000000"/>
      <w:rFonts w:ascii="Arial" w:hAnsi="Arial"/>
      <w:sz w:val="20"/>
      <w:szCs w:val="20"/>
    </w:rPr>
  </w:style>
  <w:style w:type="character" w:styleId="BulletsChar">
    <w:name w:val="Bullets Char"/>
    <w:qFormat/>
    <w:rPr>
      <w:color w:val="000000"/>
      <w:rFonts w:ascii="Arial" w:hAnsi="Arial"/>
    </w:rPr>
  </w:style>
  <w:style w:type="paragraph" w:styleId="ListParagraph">
    <w:name w:val="List Paragraph"/>
    <w:qFormat/>
    <w:basedOn w:val="Normal"/>
    <w:pPr>
      <w:ind w:left="720"/>
      <w:contextualSpacing/>
      <w:spacing w:after="200" w:line="276" w:lineRule="auto"/>
    </w:pPr>
    <w:rPr>
      <w:rFonts w:ascii="Calibri" w:hAnsi="Calibri"/>
      <w:sz w:val="22"/>
      <w:szCs w:val="22"/>
    </w:rPr>
  </w:style>
  <w:style w:type="character" w:styleId="ListParagraphChar">
    <w:name w:val="List Paragraph Char"/>
    <w:qFormat/>
    <w:rPr>
      <w:rFonts w:ascii="Calibri" w:hAnsi="Calibri"/>
      <w:sz w:val="22"/>
      <w:szCs w:val="22"/>
    </w:rPr>
  </w:style>
  <w:style w:type="character" w:styleId="CommentReference">
    <w:name w:val="Comment Reference"/>
    <w:qFormat/>
    <w:rPr>
      <w:sz w:val="16"/>
      <w:szCs w:val="16"/>
    </w:rPr>
  </w:style>
  <w:style w:type="paragraph" w:styleId="CommentText">
    <w:name w:val="Comment Text"/>
    <w:qFormat/>
    <w:basedOn w:val="Normal"/>
    <w:pPr/>
    <w:rPr>
      <w:sz w:val="20"/>
      <w:szCs w:val="20"/>
    </w:rPr>
  </w:style>
  <w:style w:type="character" w:styleId="CommentTextChar">
    <w:name w:val="Comment Text Char"/>
    <w:qFormat/>
    <w:basedOn w:val="DefaultParagraphFont"/>
  </w:style>
  <w:style w:type="paragraph" w:styleId="CommentSubject">
    <w:name w:val="Comment Subject"/>
    <w:qFormat/>
    <w:basedOn w:val="CommentText"/>
    <w:pPr/>
    <w:rPr>
      <w:b/>
    </w:rPr>
  </w:style>
  <w:style w:type="character" w:styleId="CommentSubjectChar">
    <w:name w:val="Comment Subject Char"/>
    <w:qFormat/>
    <w:rPr>
      <w:b/>
    </w:rPr>
  </w:style>
  <w:style w:type="paragraph" w:styleId="BalloonText">
    <w:name w:val="Balloon Text"/>
    <w:qFormat/>
    <w:basedOn w:val="Normal"/>
    <w:pPr/>
    <w:rPr>
      <w:rFonts w:ascii="Segoe UI" w:hAnsi="Segoe UI"/>
      <w:sz w:val="18"/>
      <w:szCs w:val="18"/>
    </w:rPr>
  </w:style>
  <w:style w:type="character" w:styleId="BalloonTextChar">
    <w:name w:val="Balloon Text Char"/>
    <w:qFormat/>
    <w:rPr>
      <w:rFonts w:ascii="Segoe UI" w:hAnsi="Segoe UI"/>
      <w:sz w:val="18"/>
      <w:szCs w:val="18"/>
    </w:rPr>
  </w:style>
  <w:style w:type="character" w:styleId="UnresolvedMention">
    <w:name w:val="Unresolved Mention"/>
    <w:qFormat/>
    <w:rPr>
      <w:color w:val="605E5C"/>
      <w:shd w:fill="E1DFDD"/>
    </w:rPr>
  </w:style>
  <w:style w:type="character" w:styleId="FollowedHyperlink">
    <w:name w:val="FollowedHyperlink"/>
    <w:qFormat/>
    <w:rPr>
      <w:u w:val="single"/>
      <w:color w:val="954F72"/>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7" Type="http://schemas.openxmlformats.org/officeDocument/2006/relationships/image" Target="media/image2.emf"/><Relationship Id="rId8" Type="http://schemas.openxmlformats.org/officeDocument/2006/relationships/numbering" Target="numbering.xml"/><Relationship Id="rId9" TargetMode="External" Type="http://schemas.openxmlformats.org/officeDocument/2006/relationships/hyperlink" Target="https://www.hopkinsmedicine.org/evidence-based-practice/_docs/appendix_c_evidence_level_quality_guide.pdf"/><Relationship Id="rId10" TargetMode="External" Type="http://schemas.openxmlformats.org/officeDocument/2006/relationships/hyperlink" Target="https://academicguides.waldenu.edu/library/conceptualframework"/><Relationship Id="rId11" TargetMode="External" Type="http://schemas.openxmlformats.org/officeDocument/2006/relationships/hyperlink" Target="https://www.hopkinsmedicine.org/evidence-based-practice/_docs/appendix_c_evidence_level_quality_guide.pdf"/><Relationship Id="rId12" TargetMode="External" Type="http://schemas.openxmlformats.org/officeDocument/2006/relationships/hyperlink" Target="https://academicguides.waldenu.edu/library/conceptualframework"/><Relationship Id="rId1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cp:revision>
  <dcterms:created xsi:type="dcterms:W3CDTF">2007-04-30T19:01:00Z</dcterms:created>
  <dcterms:modified xsi:type="dcterms:W3CDTF">2011-09-26T12:08:00Z</dcterms:modified>
</cp:coreProperties>
</file>