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C93D4" w14:textId="0C3D7FCE" w:rsidR="00752926" w:rsidRDefault="001A0ED8">
      <w:r>
        <w:t>CSU FIN 6301 WEEK 3 UNIT III CHAPTERS SUMMARY (Chapters 6,7 &amp;8</w:t>
      </w:r>
    </w:p>
    <w:p w14:paraId="51B905F4" w14:textId="10096A01" w:rsidR="005D69EA" w:rsidRDefault="005D69EA">
      <w:r>
        <w:t>Chapter 6 Risk &amp; Return</w:t>
      </w:r>
    </w:p>
    <w:p w14:paraId="4B60AF1F" w14:textId="572B11F3" w:rsidR="001A0ED8" w:rsidRDefault="001A0ED8" w:rsidP="001A0ED8">
      <w:pPr>
        <w:pStyle w:val="Answer-or-feedback"/>
        <w:spacing w:after="120"/>
        <w:rPr>
          <w:szCs w:val="20"/>
        </w:rPr>
      </w:pPr>
      <w:r w:rsidRPr="008D414C">
        <w:rPr>
          <w:szCs w:val="20"/>
        </w:rPr>
        <w:t xml:space="preserve">Risk is the chance that some unfavorable event will occur. For instance, the risk of an asset is essentially </w:t>
      </w:r>
    </w:p>
    <w:p w14:paraId="0713B264" w14:textId="7B0008DB" w:rsidR="001A0ED8" w:rsidRDefault="001A0ED8" w:rsidP="001A0ED8">
      <w:pPr>
        <w:pStyle w:val="Answer-or-feedback"/>
        <w:spacing w:after="120"/>
        <w:rPr>
          <w:szCs w:val="20"/>
        </w:rPr>
      </w:pPr>
      <w:r w:rsidRPr="008D414C">
        <w:rPr>
          <w:szCs w:val="20"/>
        </w:rPr>
        <w:t>the chance that the asset’s cash flows will be unfavorable or less than expected.</w:t>
      </w:r>
    </w:p>
    <w:p w14:paraId="2DCC027F" w14:textId="77777777" w:rsidR="001A0ED8" w:rsidRDefault="001A0ED8" w:rsidP="001A0ED8">
      <w:pPr>
        <w:pStyle w:val="Answer-or-feedback"/>
        <w:spacing w:after="120"/>
        <w:rPr>
          <w:szCs w:val="20"/>
        </w:rPr>
      </w:pPr>
      <w:r w:rsidRPr="008D414C">
        <w:rPr>
          <w:szCs w:val="20"/>
        </w:rPr>
        <w:t xml:space="preserve">Stand-alone risk is only a part of total risk and pertains to the risk an investor takes by holding only one </w:t>
      </w:r>
    </w:p>
    <w:p w14:paraId="7C799029" w14:textId="77777777" w:rsidR="001A0ED8" w:rsidRDefault="001A0ED8" w:rsidP="001A0ED8">
      <w:pPr>
        <w:pStyle w:val="Answer-or-feedback"/>
        <w:spacing w:after="120"/>
        <w:rPr>
          <w:szCs w:val="20"/>
        </w:rPr>
      </w:pPr>
      <w:r w:rsidRPr="008D414C">
        <w:rPr>
          <w:szCs w:val="20"/>
        </w:rPr>
        <w:t>asset.</w:t>
      </w:r>
      <w:r>
        <w:rPr>
          <w:szCs w:val="20"/>
        </w:rPr>
        <w:t xml:space="preserve"> </w:t>
      </w:r>
      <w:r w:rsidRPr="008D414C">
        <w:rPr>
          <w:szCs w:val="20"/>
        </w:rPr>
        <w:t xml:space="preserve">A probability distribution is a listing, chart or graph of all possible outcomes, such as expected </w:t>
      </w:r>
    </w:p>
    <w:p w14:paraId="3867AFEC" w14:textId="0A2304BE" w:rsidR="001A0ED8" w:rsidRDefault="001A0ED8" w:rsidP="001A0ED8">
      <w:pPr>
        <w:pStyle w:val="Answer-or-feedback"/>
        <w:spacing w:after="120"/>
        <w:rPr>
          <w:szCs w:val="20"/>
        </w:rPr>
      </w:pPr>
      <w:r w:rsidRPr="008D414C">
        <w:rPr>
          <w:szCs w:val="20"/>
        </w:rPr>
        <w:t>rates of return, with a probability assigned to each outcome.</w:t>
      </w:r>
    </w:p>
    <w:p w14:paraId="5101489E" w14:textId="77777777" w:rsidR="001A0ED8" w:rsidRDefault="001A0ED8" w:rsidP="00AC14CC">
      <w:pPr>
        <w:pStyle w:val="Answer-or-feedback"/>
        <w:rPr>
          <w:szCs w:val="20"/>
        </w:rPr>
      </w:pPr>
      <w:r w:rsidRPr="008D414C">
        <w:rPr>
          <w:szCs w:val="20"/>
        </w:rPr>
        <w:t>When in graph form, the tighter the probability distribution, the less uncertain the outcome.</w:t>
      </w:r>
    </w:p>
    <w:p w14:paraId="394BABCB" w14:textId="22545B8D" w:rsidR="001A0ED8" w:rsidRPr="008D414C" w:rsidRDefault="001A0ED8" w:rsidP="001A0ED8">
      <w:pPr>
        <w:pStyle w:val="Answer-or-feedback"/>
        <w:rPr>
          <w:szCs w:val="20"/>
        </w:rPr>
      </w:pPr>
      <w:r w:rsidRPr="008D414C">
        <w:rPr>
          <w:szCs w:val="20"/>
        </w:rPr>
        <w:t>The expected rate of return (</w:t>
      </w:r>
      <w:r w:rsidRPr="009106AF">
        <w:rPr>
          <w:position w:val="-4"/>
        </w:rPr>
        <w:object w:dxaOrig="160" w:dyaOrig="279" w14:anchorId="1AE7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5" o:title=""/>
          </v:shape>
          <o:OLEObject Type="Embed" ProgID="Equation.DSMT4" ShapeID="_x0000_i1025" DrawAspect="Content" ObjectID="_1790678803" r:id="rId6"/>
        </w:object>
      </w:r>
      <w:r w:rsidRPr="008D414C">
        <w:rPr>
          <w:color w:val="000000"/>
          <w:szCs w:val="20"/>
        </w:rPr>
        <w:t>)</w:t>
      </w:r>
      <w:r w:rsidRPr="008D414C">
        <w:rPr>
          <w:szCs w:val="20"/>
        </w:rPr>
        <w:t xml:space="preserve"> is the expected value of a probability distribution of expected returns.</w:t>
      </w:r>
    </w:p>
    <w:p w14:paraId="270A4EC8" w14:textId="34264958" w:rsidR="001A0ED8" w:rsidRPr="008D414C" w:rsidRDefault="001A0ED8" w:rsidP="00AC14CC">
      <w:pPr>
        <w:pStyle w:val="Answer-or-feedback"/>
        <w:ind w:left="907" w:firstLine="0"/>
        <w:rPr>
          <w:szCs w:val="20"/>
        </w:rPr>
      </w:pPr>
      <w:r w:rsidRPr="008D414C">
        <w:rPr>
          <w:szCs w:val="20"/>
        </w:rPr>
        <w:t>A continuous probability distribution contains an infinite number of outcomes and is graphed from -</w:t>
      </w:r>
      <w:r w:rsidRPr="008D414C">
        <w:rPr>
          <w:szCs w:val="20"/>
        </w:rPr>
        <w:sym w:font="Symbol" w:char="F0A5"/>
      </w:r>
      <w:r w:rsidRPr="008D414C">
        <w:rPr>
          <w:szCs w:val="20"/>
        </w:rPr>
        <w:t xml:space="preserve"> and +</w:t>
      </w:r>
      <w:r w:rsidRPr="008D414C">
        <w:rPr>
          <w:szCs w:val="20"/>
        </w:rPr>
        <w:sym w:font="Symbol" w:char="F0A5"/>
      </w:r>
      <w:r w:rsidRPr="008D414C">
        <w:rPr>
          <w:szCs w:val="20"/>
        </w:rPr>
        <w:t>.</w:t>
      </w:r>
    </w:p>
    <w:p w14:paraId="517D25CC" w14:textId="1670A0F8" w:rsidR="001A0ED8" w:rsidRPr="008D414C" w:rsidRDefault="001A0ED8" w:rsidP="00AC14CC">
      <w:pPr>
        <w:pStyle w:val="Answer-or-feedback"/>
        <w:ind w:left="907" w:firstLine="0"/>
        <w:rPr>
          <w:szCs w:val="20"/>
        </w:rPr>
      </w:pPr>
      <w:r w:rsidRPr="008D414C">
        <w:rPr>
          <w:szCs w:val="20"/>
        </w:rPr>
        <w:t>The standard deviation (</w:t>
      </w:r>
      <w:r w:rsidRPr="008D414C">
        <w:rPr>
          <w:rFonts w:ascii="Times New Roman" w:hAnsi="Times New Roman" w:cs="Times New Roman"/>
          <w:szCs w:val="20"/>
        </w:rPr>
        <w:t>σ</w:t>
      </w:r>
      <w:r w:rsidRPr="008D414C">
        <w:rPr>
          <w:szCs w:val="20"/>
        </w:rPr>
        <w:t>) is a statistical measure of the variability of a set of observations. The variance (</w:t>
      </w:r>
      <w:r w:rsidRPr="008D414C">
        <w:rPr>
          <w:rFonts w:ascii="Times New Roman" w:hAnsi="Times New Roman" w:cs="Times New Roman"/>
          <w:szCs w:val="20"/>
        </w:rPr>
        <w:t>σ</w:t>
      </w:r>
      <w:r w:rsidRPr="008D414C">
        <w:rPr>
          <w:szCs w:val="20"/>
          <w:vertAlign w:val="superscript"/>
        </w:rPr>
        <w:t>2</w:t>
      </w:r>
      <w:r w:rsidRPr="008D414C">
        <w:rPr>
          <w:szCs w:val="20"/>
        </w:rPr>
        <w:t>) of the probability distribution is the sum of the squared deviations about the expected value adjusted for deviation.</w:t>
      </w:r>
    </w:p>
    <w:p w14:paraId="491FE677" w14:textId="16DA5E2C" w:rsidR="001A0ED8" w:rsidRDefault="001A0ED8" w:rsidP="00AC14CC">
      <w:pPr>
        <w:pStyle w:val="Answer-or-feedback"/>
        <w:spacing w:after="120"/>
        <w:ind w:left="907" w:firstLine="0"/>
        <w:rPr>
          <w:szCs w:val="20"/>
        </w:rPr>
      </w:pPr>
      <w:r w:rsidRPr="008D414C">
        <w:rPr>
          <w:szCs w:val="20"/>
        </w:rPr>
        <w:t>A risk averse investor dislikes risk and requires a higher rate of return as an inducement to buy riskier securities.</w:t>
      </w:r>
    </w:p>
    <w:p w14:paraId="67D93786" w14:textId="77777777" w:rsidR="001A0ED8" w:rsidRPr="008D414C" w:rsidRDefault="001A0ED8" w:rsidP="00AC14CC">
      <w:pPr>
        <w:pStyle w:val="Answer-or-feedback"/>
        <w:ind w:left="907" w:firstLine="0"/>
        <w:rPr>
          <w:szCs w:val="20"/>
        </w:rPr>
      </w:pPr>
      <w:r w:rsidRPr="008D414C">
        <w:rPr>
          <w:szCs w:val="20"/>
        </w:rPr>
        <w:t>A realized return is the actual return an investor receives on their investment. It can be quite different than their expected return.</w:t>
      </w:r>
    </w:p>
    <w:p w14:paraId="1333F6C9" w14:textId="709FAC14" w:rsidR="001A0ED8" w:rsidRDefault="001A0ED8" w:rsidP="00AC14CC">
      <w:pPr>
        <w:pStyle w:val="Answer-or-feedback"/>
        <w:spacing w:after="120"/>
        <w:ind w:left="907" w:firstLine="0"/>
        <w:rPr>
          <w:szCs w:val="20"/>
        </w:rPr>
      </w:pPr>
      <w:r w:rsidRPr="008D414C">
        <w:rPr>
          <w:szCs w:val="20"/>
        </w:rPr>
        <w:t xml:space="preserve">A risk premium is the difference between the rate of return on a risk-free asset and the expected return on Stock I, which has </w:t>
      </w:r>
      <w:r w:rsidR="00AC14CC">
        <w:rPr>
          <w:szCs w:val="20"/>
        </w:rPr>
        <w:t>a </w:t>
      </w:r>
      <w:r w:rsidRPr="008D414C">
        <w:rPr>
          <w:szCs w:val="20"/>
        </w:rPr>
        <w:t>higher risk.</w:t>
      </w:r>
    </w:p>
    <w:p w14:paraId="4B8F2E19" w14:textId="77777777" w:rsidR="001A0ED8" w:rsidRPr="008D414C" w:rsidRDefault="001A0ED8" w:rsidP="00AC14CC">
      <w:pPr>
        <w:pStyle w:val="Answer-or-feedback"/>
        <w:rPr>
          <w:szCs w:val="20"/>
        </w:rPr>
      </w:pPr>
      <w:r w:rsidRPr="008D414C">
        <w:rPr>
          <w:szCs w:val="20"/>
        </w:rPr>
        <w:t>The market risk premium is the difference between the expected return on the market and the risk-free rate.</w:t>
      </w:r>
    </w:p>
    <w:p w14:paraId="4EE84DF2" w14:textId="48D02C87" w:rsidR="001A0ED8" w:rsidRPr="008D414C" w:rsidRDefault="001A0ED8" w:rsidP="00AC14CC">
      <w:pPr>
        <w:pStyle w:val="Answer-or-feedback"/>
        <w:ind w:left="907" w:firstLine="0"/>
        <w:rPr>
          <w:szCs w:val="20"/>
        </w:rPr>
      </w:pPr>
      <w:r w:rsidRPr="008D414C">
        <w:rPr>
          <w:szCs w:val="20"/>
        </w:rPr>
        <w:t xml:space="preserve">CAPM is a model based upon the proposition that any stock’s required rate of return is equal to the risk-free rate of return plus a risk premium reflecting only the risk remaining after diversification. </w:t>
      </w:r>
    </w:p>
    <w:p w14:paraId="30FF5F98" w14:textId="1FDBC4E4" w:rsidR="001A0ED8" w:rsidRPr="008D414C" w:rsidRDefault="001A0ED8" w:rsidP="00AC14CC">
      <w:pPr>
        <w:pStyle w:val="Answer-or-feedback"/>
        <w:spacing w:after="120"/>
        <w:ind w:left="907" w:firstLine="0"/>
        <w:rPr>
          <w:szCs w:val="20"/>
        </w:rPr>
      </w:pPr>
      <w:r w:rsidRPr="008D414C">
        <w:rPr>
          <w:szCs w:val="20"/>
        </w:rPr>
        <w:t xml:space="preserve">The expected return on a portfolio. </w:t>
      </w:r>
      <w:r w:rsidRPr="009106AF">
        <w:rPr>
          <w:position w:val="-4"/>
        </w:rPr>
        <w:object w:dxaOrig="160" w:dyaOrig="279" w14:anchorId="2FC91A43">
          <v:shape id="_x0000_i1026" type="#_x0000_t75" style="width:7.5pt;height:14.25pt" o:ole="">
            <v:imagedata r:id="rId7" o:title=""/>
          </v:shape>
          <o:OLEObject Type="Embed" ProgID="Equation.DSMT4" ShapeID="_x0000_i1026" DrawAspect="Content" ObjectID="_1790678804" r:id="rId8"/>
        </w:object>
      </w:r>
      <w:r w:rsidRPr="008D414C">
        <w:rPr>
          <w:szCs w:val="20"/>
          <w:vertAlign w:val="subscript"/>
        </w:rPr>
        <w:t>p</w:t>
      </w:r>
      <w:r w:rsidRPr="008D414C">
        <w:rPr>
          <w:szCs w:val="20"/>
        </w:rPr>
        <w:t>, is simply the weighted-average expected return of the individual stocks in the portfolio, with the weights being the fraction of total portfolio value invested in each stock.</w:t>
      </w:r>
      <w:r w:rsidR="00AC14CC">
        <w:rPr>
          <w:szCs w:val="20"/>
        </w:rPr>
        <w:t xml:space="preserve"> </w:t>
      </w:r>
      <w:r w:rsidRPr="008D414C">
        <w:rPr>
          <w:szCs w:val="20"/>
        </w:rPr>
        <w:t>The market portfolio is a portfolio consisting of all stocks.</w:t>
      </w:r>
    </w:p>
    <w:p w14:paraId="50031393" w14:textId="5C7D028E" w:rsidR="001A0ED8" w:rsidRDefault="001A0ED8" w:rsidP="00AC14CC">
      <w:pPr>
        <w:pStyle w:val="Answer-or-feedback"/>
        <w:spacing w:after="120"/>
        <w:ind w:left="907" w:firstLine="0"/>
        <w:rPr>
          <w:szCs w:val="20"/>
        </w:rPr>
      </w:pPr>
      <w:bookmarkStart w:id="0" w:name="QuickMark"/>
      <w:bookmarkEnd w:id="0"/>
      <w:r w:rsidRPr="008D414C">
        <w:rPr>
          <w:szCs w:val="20"/>
        </w:rPr>
        <w:t>Correlation is the tendency of two variables to move together. A correlation coefficient (</w:t>
      </w:r>
      <w:r w:rsidRPr="008D414C">
        <w:rPr>
          <w:rFonts w:ascii="Times New Roman" w:hAnsi="Times New Roman" w:cs="Times New Roman"/>
          <w:szCs w:val="20"/>
        </w:rPr>
        <w:t>ρ</w:t>
      </w:r>
      <w:r w:rsidRPr="008D414C">
        <w:rPr>
          <w:szCs w:val="20"/>
        </w:rPr>
        <w:t>) of +1.0 means that the two variables move up and down in perfect synchronization, while a coefficient of –1.0 means the variables always move in opposite directions.</w:t>
      </w:r>
    </w:p>
    <w:p w14:paraId="2112C193" w14:textId="77777777" w:rsidR="001A0ED8" w:rsidRPr="008D414C" w:rsidRDefault="001A0ED8" w:rsidP="00AC14CC">
      <w:pPr>
        <w:pStyle w:val="Answer-or-feedback"/>
        <w:ind w:left="907" w:firstLine="0"/>
        <w:rPr>
          <w:szCs w:val="20"/>
        </w:rPr>
      </w:pPr>
      <w:r w:rsidRPr="008D414C">
        <w:rPr>
          <w:szCs w:val="20"/>
        </w:rPr>
        <w:t>A correlation coefficient of zero suggests that the two variables are not related to one another; that is, they are independent.</w:t>
      </w:r>
    </w:p>
    <w:p w14:paraId="6798EFB4" w14:textId="1C876662" w:rsidR="001A0ED8" w:rsidRDefault="001A0ED8" w:rsidP="00AC14CC">
      <w:pPr>
        <w:pStyle w:val="Answer-or-feedback"/>
        <w:spacing w:after="120"/>
        <w:ind w:left="904" w:firstLine="0"/>
        <w:rPr>
          <w:szCs w:val="20"/>
        </w:rPr>
      </w:pPr>
      <w:r w:rsidRPr="008D414C">
        <w:rPr>
          <w:szCs w:val="20"/>
        </w:rPr>
        <w:t xml:space="preserve">Market risk is that part of a security’s total risk that cannot be eliminated by diversification. </w:t>
      </w:r>
      <w:r w:rsidR="00AC14CC">
        <w:rPr>
          <w:szCs w:val="20"/>
        </w:rPr>
        <w:t>T</w:t>
      </w:r>
      <w:r w:rsidRPr="008D414C">
        <w:rPr>
          <w:szCs w:val="20"/>
        </w:rPr>
        <w:t>he beta coefficient</w:t>
      </w:r>
      <w:r w:rsidR="00AC14CC">
        <w:rPr>
          <w:szCs w:val="20"/>
        </w:rPr>
        <w:t xml:space="preserve"> measures it</w:t>
      </w:r>
      <w:r w:rsidRPr="008D414C">
        <w:rPr>
          <w:szCs w:val="20"/>
        </w:rPr>
        <w:t>.</w:t>
      </w:r>
    </w:p>
    <w:p w14:paraId="758DB2C3" w14:textId="28C64C38" w:rsidR="001A0ED8" w:rsidRPr="008D414C" w:rsidRDefault="001A0ED8" w:rsidP="00AC14CC">
      <w:pPr>
        <w:pStyle w:val="Answer-or-feedback"/>
        <w:spacing w:after="120"/>
        <w:ind w:left="907" w:firstLine="0"/>
        <w:rPr>
          <w:szCs w:val="20"/>
        </w:rPr>
      </w:pPr>
      <w:r w:rsidRPr="008D414C">
        <w:rPr>
          <w:szCs w:val="20"/>
        </w:rPr>
        <w:t xml:space="preserve">Diversifiable risk is also known as company specific risk, that part of a security’s total risk associated with random events not affecting the </w:t>
      </w:r>
      <w:proofErr w:type="gramStart"/>
      <w:r w:rsidRPr="008D414C">
        <w:rPr>
          <w:szCs w:val="20"/>
        </w:rPr>
        <w:t>market as a whole</w:t>
      </w:r>
      <w:proofErr w:type="gramEnd"/>
      <w:r w:rsidRPr="008D414C">
        <w:rPr>
          <w:szCs w:val="20"/>
        </w:rPr>
        <w:t xml:space="preserve">. This risk can be eliminated by proper </w:t>
      </w:r>
      <w:r w:rsidRPr="008D414C">
        <w:rPr>
          <w:szCs w:val="20"/>
        </w:rPr>
        <w:lastRenderedPageBreak/>
        <w:t>diversification.</w:t>
      </w:r>
      <w:r w:rsidR="00AC14CC">
        <w:rPr>
          <w:szCs w:val="20"/>
        </w:rPr>
        <w:t xml:space="preserve"> </w:t>
      </w:r>
      <w:r w:rsidRPr="008D414C">
        <w:rPr>
          <w:szCs w:val="20"/>
        </w:rPr>
        <w:t>The relevant risk of a stock is its contribution to the riskiness of a well-diversified portfolio.</w:t>
      </w:r>
    </w:p>
    <w:p w14:paraId="580FDB8C" w14:textId="7A0BCC80" w:rsidR="001A0ED8" w:rsidRPr="008D414C" w:rsidRDefault="001A0ED8" w:rsidP="00AC14CC">
      <w:pPr>
        <w:pStyle w:val="Answer-or-feedback"/>
        <w:spacing w:after="0"/>
        <w:ind w:left="907" w:firstLine="0"/>
        <w:rPr>
          <w:szCs w:val="20"/>
        </w:rPr>
      </w:pPr>
      <w:r w:rsidRPr="008D414C">
        <w:rPr>
          <w:szCs w:val="20"/>
        </w:rPr>
        <w:t xml:space="preserve">The beta coefficient is a measure of a </w:t>
      </w:r>
      <w:proofErr w:type="gramStart"/>
      <w:r w:rsidRPr="008D414C">
        <w:rPr>
          <w:szCs w:val="20"/>
        </w:rPr>
        <w:t>stock’s</w:t>
      </w:r>
      <w:proofErr w:type="gramEnd"/>
      <w:r w:rsidRPr="008D414C">
        <w:rPr>
          <w:szCs w:val="20"/>
        </w:rPr>
        <w:t xml:space="preserve"> market risk. A stock with a beta greater than 1 has stock returns that tend to be higher than the market when the market is up but tend to be below the market when the market is down. The opposite is true for a stock with a </w:t>
      </w:r>
      <w:proofErr w:type="gramStart"/>
      <w:r w:rsidRPr="008D414C">
        <w:rPr>
          <w:szCs w:val="20"/>
        </w:rPr>
        <w:t>beta</w:t>
      </w:r>
      <w:proofErr w:type="gramEnd"/>
      <w:r w:rsidRPr="008D414C">
        <w:rPr>
          <w:szCs w:val="20"/>
        </w:rPr>
        <w:t xml:space="preserve"> less than 1.</w:t>
      </w:r>
    </w:p>
    <w:p w14:paraId="4DDFB9C9" w14:textId="77777777" w:rsidR="001A0ED8" w:rsidRDefault="001A0ED8" w:rsidP="001A0ED8">
      <w:pPr>
        <w:pStyle w:val="Answer-or-feedback"/>
        <w:spacing w:after="120"/>
        <w:rPr>
          <w:szCs w:val="20"/>
        </w:rPr>
      </w:pPr>
    </w:p>
    <w:p w14:paraId="4B138B94" w14:textId="771EC912" w:rsidR="005D69EA" w:rsidRDefault="005D69EA" w:rsidP="00AC14CC">
      <w:pPr>
        <w:pStyle w:val="Answer-or-feedback"/>
        <w:spacing w:after="120"/>
        <w:ind w:left="907" w:firstLine="0"/>
        <w:rPr>
          <w:szCs w:val="20"/>
        </w:rPr>
      </w:pPr>
      <w:r w:rsidRPr="008D414C">
        <w:rPr>
          <w:szCs w:val="20"/>
        </w:rPr>
        <w:t>The security market line (SML) represents in a graphical form, the relationship between the risk of an</w:t>
      </w:r>
      <w:r w:rsidR="00AC14CC">
        <w:rPr>
          <w:szCs w:val="20"/>
        </w:rPr>
        <w:t xml:space="preserve"> </w:t>
      </w:r>
      <w:r w:rsidRPr="008D414C">
        <w:rPr>
          <w:szCs w:val="20"/>
        </w:rPr>
        <w:t xml:space="preserve">asset as measured by its beta and the required rates </w:t>
      </w:r>
      <w:r w:rsidRPr="008D414C">
        <w:rPr>
          <w:szCs w:val="20"/>
        </w:rPr>
        <w:br/>
        <w:t>of return for individual securities.</w:t>
      </w:r>
    </w:p>
    <w:p w14:paraId="47DE779E" w14:textId="77777777" w:rsidR="005D69EA" w:rsidRPr="008D414C" w:rsidRDefault="005D69EA" w:rsidP="00AC14CC">
      <w:pPr>
        <w:pStyle w:val="Answer-or-feedback"/>
        <w:rPr>
          <w:szCs w:val="20"/>
        </w:rPr>
      </w:pPr>
      <w:r w:rsidRPr="008D414C">
        <w:rPr>
          <w:szCs w:val="20"/>
        </w:rPr>
        <w:t xml:space="preserve">The SML equation is essentially the CAPM, </w:t>
      </w:r>
      <w:r w:rsidRPr="008D414C">
        <w:rPr>
          <w:szCs w:val="20"/>
        </w:rPr>
        <w:br/>
      </w:r>
      <w:proofErr w:type="spellStart"/>
      <w:r w:rsidRPr="008D414C">
        <w:rPr>
          <w:szCs w:val="20"/>
        </w:rPr>
        <w:t>r</w:t>
      </w:r>
      <w:r w:rsidRPr="008D414C">
        <w:rPr>
          <w:szCs w:val="20"/>
          <w:vertAlign w:val="subscript"/>
        </w:rPr>
        <w:t>i</w:t>
      </w:r>
      <w:proofErr w:type="spellEnd"/>
      <w:r w:rsidRPr="008D414C">
        <w:rPr>
          <w:szCs w:val="20"/>
        </w:rPr>
        <w:t xml:space="preserve"> = </w:t>
      </w:r>
      <w:proofErr w:type="spellStart"/>
      <w:r w:rsidRPr="008D414C">
        <w:rPr>
          <w:szCs w:val="20"/>
        </w:rPr>
        <w:t>r</w:t>
      </w:r>
      <w:r w:rsidRPr="008D414C">
        <w:rPr>
          <w:szCs w:val="20"/>
          <w:vertAlign w:val="subscript"/>
        </w:rPr>
        <w:t>RF</w:t>
      </w:r>
      <w:proofErr w:type="spellEnd"/>
      <w:r w:rsidRPr="008D414C">
        <w:rPr>
          <w:szCs w:val="20"/>
        </w:rPr>
        <w:t xml:space="preserve"> + </w:t>
      </w:r>
      <w:proofErr w:type="gramStart"/>
      <w:r w:rsidRPr="008D414C">
        <w:rPr>
          <w:szCs w:val="20"/>
        </w:rPr>
        <w:t>b</w:t>
      </w:r>
      <w:r w:rsidRPr="008D414C">
        <w:rPr>
          <w:szCs w:val="20"/>
          <w:vertAlign w:val="subscript"/>
        </w:rPr>
        <w:t>i</w:t>
      </w:r>
      <w:r w:rsidRPr="008D414C">
        <w:rPr>
          <w:szCs w:val="20"/>
        </w:rPr>
        <w:t>(</w:t>
      </w:r>
      <w:proofErr w:type="gramEnd"/>
      <w:r w:rsidRPr="008D414C">
        <w:rPr>
          <w:szCs w:val="20"/>
        </w:rPr>
        <w:t>RP</w:t>
      </w:r>
      <w:r w:rsidRPr="008D414C">
        <w:rPr>
          <w:szCs w:val="20"/>
          <w:vertAlign w:val="subscript"/>
        </w:rPr>
        <w:t>M</w:t>
      </w:r>
      <w:r w:rsidRPr="008D414C">
        <w:rPr>
          <w:szCs w:val="20"/>
        </w:rPr>
        <w:t xml:space="preserve">). It can also be written in terms of the required market return: </w:t>
      </w:r>
      <w:r w:rsidRPr="008D414C">
        <w:rPr>
          <w:szCs w:val="20"/>
        </w:rPr>
        <w:br/>
      </w:r>
      <w:proofErr w:type="spellStart"/>
      <w:r w:rsidRPr="008D414C">
        <w:rPr>
          <w:szCs w:val="20"/>
        </w:rPr>
        <w:t>r</w:t>
      </w:r>
      <w:r w:rsidRPr="008D414C">
        <w:rPr>
          <w:szCs w:val="20"/>
          <w:vertAlign w:val="subscript"/>
        </w:rPr>
        <w:t>i</w:t>
      </w:r>
      <w:proofErr w:type="spellEnd"/>
      <w:r w:rsidRPr="008D414C">
        <w:rPr>
          <w:szCs w:val="20"/>
        </w:rPr>
        <w:t xml:space="preserve"> = </w:t>
      </w:r>
      <w:proofErr w:type="spellStart"/>
      <w:r w:rsidRPr="008D414C">
        <w:rPr>
          <w:szCs w:val="20"/>
        </w:rPr>
        <w:t>r</w:t>
      </w:r>
      <w:r w:rsidRPr="008D414C">
        <w:rPr>
          <w:szCs w:val="20"/>
          <w:vertAlign w:val="subscript"/>
        </w:rPr>
        <w:t>RF</w:t>
      </w:r>
      <w:proofErr w:type="spellEnd"/>
      <w:r w:rsidRPr="008D414C">
        <w:rPr>
          <w:szCs w:val="20"/>
        </w:rPr>
        <w:t xml:space="preserve"> + </w:t>
      </w:r>
      <w:proofErr w:type="gramStart"/>
      <w:r w:rsidRPr="008D414C">
        <w:rPr>
          <w:szCs w:val="20"/>
        </w:rPr>
        <w:t>b</w:t>
      </w:r>
      <w:r w:rsidRPr="008D414C">
        <w:rPr>
          <w:szCs w:val="20"/>
          <w:vertAlign w:val="subscript"/>
        </w:rPr>
        <w:t>i</w:t>
      </w:r>
      <w:r w:rsidRPr="008D414C">
        <w:rPr>
          <w:szCs w:val="20"/>
        </w:rPr>
        <w:t>(</w:t>
      </w:r>
      <w:proofErr w:type="spellStart"/>
      <w:proofErr w:type="gramEnd"/>
      <w:r w:rsidRPr="008D414C">
        <w:rPr>
          <w:szCs w:val="20"/>
        </w:rPr>
        <w:t>r</w:t>
      </w:r>
      <w:r w:rsidRPr="008D414C">
        <w:rPr>
          <w:szCs w:val="20"/>
          <w:vertAlign w:val="subscript"/>
        </w:rPr>
        <w:t>M</w:t>
      </w:r>
      <w:proofErr w:type="spellEnd"/>
      <w:r w:rsidRPr="008D414C">
        <w:rPr>
          <w:szCs w:val="20"/>
        </w:rPr>
        <w:t xml:space="preserve"> – </w:t>
      </w:r>
      <w:proofErr w:type="spellStart"/>
      <w:r w:rsidRPr="008D414C">
        <w:rPr>
          <w:szCs w:val="20"/>
        </w:rPr>
        <w:t>r</w:t>
      </w:r>
      <w:r w:rsidRPr="008D414C">
        <w:rPr>
          <w:szCs w:val="20"/>
          <w:vertAlign w:val="subscript"/>
        </w:rPr>
        <w:t>RF</w:t>
      </w:r>
      <w:proofErr w:type="spellEnd"/>
      <w:r w:rsidRPr="008D414C">
        <w:rPr>
          <w:szCs w:val="20"/>
        </w:rPr>
        <w:t>).</w:t>
      </w:r>
    </w:p>
    <w:p w14:paraId="3C9FD3D9" w14:textId="033D0FF9" w:rsidR="005D69EA" w:rsidRPr="008D414C" w:rsidRDefault="005D69EA" w:rsidP="00AC14CC">
      <w:pPr>
        <w:pStyle w:val="Answer-or-feedback"/>
        <w:ind w:left="907" w:firstLine="0"/>
        <w:rPr>
          <w:szCs w:val="20"/>
        </w:rPr>
      </w:pPr>
      <w:r w:rsidRPr="008D414C">
        <w:rPr>
          <w:szCs w:val="20"/>
        </w:rPr>
        <w:t>The slope of the SML equation is (</w:t>
      </w:r>
      <w:proofErr w:type="spellStart"/>
      <w:r w:rsidRPr="008D414C">
        <w:rPr>
          <w:szCs w:val="20"/>
        </w:rPr>
        <w:t>r</w:t>
      </w:r>
      <w:r w:rsidRPr="008D414C">
        <w:rPr>
          <w:szCs w:val="20"/>
          <w:vertAlign w:val="subscript"/>
        </w:rPr>
        <w:t>M</w:t>
      </w:r>
      <w:proofErr w:type="spellEnd"/>
      <w:r w:rsidRPr="008D414C">
        <w:rPr>
          <w:szCs w:val="20"/>
        </w:rPr>
        <w:t xml:space="preserve"> – </w:t>
      </w:r>
      <w:proofErr w:type="spellStart"/>
      <w:r w:rsidRPr="008D414C">
        <w:rPr>
          <w:szCs w:val="20"/>
        </w:rPr>
        <w:t>r</w:t>
      </w:r>
      <w:r w:rsidRPr="008D414C">
        <w:rPr>
          <w:szCs w:val="20"/>
          <w:vertAlign w:val="subscript"/>
        </w:rPr>
        <w:t>RF</w:t>
      </w:r>
      <w:proofErr w:type="spellEnd"/>
      <w:r w:rsidRPr="008D414C">
        <w:rPr>
          <w:szCs w:val="20"/>
        </w:rPr>
        <w:t>), the market risk premium. The slope of the SML reflects the degree of risk aversion in the economy. The greater the average investors aversion to risk, then the steeper the slope, the higher the risk premium for all stocks, and the higher the required return.</w:t>
      </w:r>
    </w:p>
    <w:p w14:paraId="5A8EF170" w14:textId="763832C4" w:rsidR="005D69EA" w:rsidRDefault="005D69EA" w:rsidP="00AC14CC">
      <w:pPr>
        <w:pStyle w:val="Answer-or-feedback"/>
        <w:spacing w:after="120"/>
        <w:ind w:left="904" w:firstLine="0"/>
        <w:rPr>
          <w:szCs w:val="20"/>
        </w:rPr>
      </w:pPr>
      <w:r w:rsidRPr="008D414C">
        <w:rPr>
          <w:szCs w:val="20"/>
        </w:rPr>
        <w:t xml:space="preserve">Equilibrium is the condition under which the expected return on a security is just equal to its required return, </w:t>
      </w:r>
      <w:r w:rsidRPr="009106AF">
        <w:rPr>
          <w:position w:val="-4"/>
        </w:rPr>
        <w:object w:dxaOrig="160" w:dyaOrig="279" w14:anchorId="75B8BC0F">
          <v:shape id="_x0000_i1027" type="#_x0000_t75" style="width:7.5pt;height:14.25pt" o:ole="">
            <v:imagedata r:id="rId7" o:title=""/>
          </v:shape>
          <o:OLEObject Type="Embed" ProgID="Equation.DSMT4" ShapeID="_x0000_i1027" DrawAspect="Content" ObjectID="_1790678805" r:id="rId9"/>
        </w:object>
      </w:r>
      <w:r>
        <w:t xml:space="preserve"> </w:t>
      </w:r>
      <w:r w:rsidRPr="008D414C">
        <w:rPr>
          <w:szCs w:val="20"/>
        </w:rPr>
        <w:t>= r, and the market price is equal to the intrinsic value.</w:t>
      </w:r>
    </w:p>
    <w:p w14:paraId="38D14C13" w14:textId="77777777" w:rsidR="005D69EA" w:rsidRDefault="005D69EA" w:rsidP="00AC14CC">
      <w:pPr>
        <w:pStyle w:val="Answer-or-feedback"/>
        <w:spacing w:after="120"/>
        <w:ind w:left="907" w:firstLine="0"/>
        <w:rPr>
          <w:szCs w:val="20"/>
        </w:rPr>
      </w:pPr>
      <w:r w:rsidRPr="008D414C">
        <w:rPr>
          <w:szCs w:val="20"/>
        </w:rPr>
        <w:t>The Efficient Markets Hypothesis (EMH) states (1) that stocks are always in equilibrium and (2) that it is impossible for an investor to consistently “beat the market.” In essence, the theory holds that the price of a stock will adjust almost immediately in response to any new developments. In other words, the EMH assumes that all important information regarding a stock is reflected in the price of that stock.</w:t>
      </w:r>
    </w:p>
    <w:p w14:paraId="50604E71" w14:textId="77777777" w:rsidR="005D69EA" w:rsidRDefault="005D69EA" w:rsidP="00AC14CC">
      <w:pPr>
        <w:pStyle w:val="Answer-or-feedback"/>
        <w:spacing w:after="120"/>
        <w:ind w:left="907" w:firstLine="0"/>
        <w:rPr>
          <w:szCs w:val="20"/>
        </w:rPr>
      </w:pPr>
      <w:r w:rsidRPr="008D414C">
        <w:rPr>
          <w:szCs w:val="20"/>
        </w:rPr>
        <w:t xml:space="preserve">Financial theorists generally define three forms of market efficiency: weak form, </w:t>
      </w:r>
      <w:proofErr w:type="spellStart"/>
      <w:r w:rsidRPr="008D414C">
        <w:rPr>
          <w:szCs w:val="20"/>
        </w:rPr>
        <w:t>semistrong</w:t>
      </w:r>
      <w:proofErr w:type="spellEnd"/>
      <w:r w:rsidRPr="008D414C">
        <w:rPr>
          <w:szCs w:val="20"/>
        </w:rPr>
        <w:t xml:space="preserve"> form, and strong form.</w:t>
      </w:r>
    </w:p>
    <w:p w14:paraId="19AE2137" w14:textId="56512219" w:rsidR="005D69EA" w:rsidRPr="008D414C" w:rsidRDefault="005D69EA" w:rsidP="00AC14CC">
      <w:pPr>
        <w:rPr>
          <w:sz w:val="20"/>
          <w:szCs w:val="20"/>
        </w:rPr>
      </w:pPr>
      <w:r w:rsidRPr="008D414C">
        <w:rPr>
          <w:sz w:val="20"/>
          <w:szCs w:val="20"/>
        </w:rPr>
        <w:t>Weak-form efficiency assumes that all information contained in past price movements is fully reflected in current market prices. Thus, information about recent stock price</w:t>
      </w:r>
      <w:r w:rsidR="00AC14CC">
        <w:rPr>
          <w:sz w:val="20"/>
          <w:szCs w:val="20"/>
        </w:rPr>
        <w:t xml:space="preserve"> trends</w:t>
      </w:r>
      <w:r w:rsidRPr="008D414C">
        <w:rPr>
          <w:sz w:val="20"/>
          <w:szCs w:val="20"/>
        </w:rPr>
        <w:t xml:space="preserve"> is use</w:t>
      </w:r>
      <w:r w:rsidR="00AC14CC">
        <w:rPr>
          <w:sz w:val="20"/>
          <w:szCs w:val="20"/>
        </w:rPr>
        <w:t>less</w:t>
      </w:r>
      <w:r w:rsidRPr="008D414C">
        <w:rPr>
          <w:sz w:val="20"/>
          <w:szCs w:val="20"/>
        </w:rPr>
        <w:t xml:space="preserve"> in selecting a stock. </w:t>
      </w:r>
      <w:proofErr w:type="spellStart"/>
      <w:r w:rsidRPr="008D414C">
        <w:rPr>
          <w:sz w:val="20"/>
          <w:szCs w:val="20"/>
        </w:rPr>
        <w:t>Semistrong</w:t>
      </w:r>
      <w:proofErr w:type="spellEnd"/>
      <w:r w:rsidRPr="008D414C">
        <w:rPr>
          <w:sz w:val="20"/>
          <w:szCs w:val="20"/>
        </w:rPr>
        <w:t xml:space="preserve">-form efficiency states that current market prices reflect all publicly available information. Therefore, the only way to gain abnormal returns on a stock is to </w:t>
      </w:r>
      <w:r w:rsidR="00AC14CC" w:rsidRPr="008D414C">
        <w:rPr>
          <w:sz w:val="20"/>
          <w:szCs w:val="20"/>
        </w:rPr>
        <w:t>possess</w:t>
      </w:r>
      <w:r w:rsidRPr="008D414C">
        <w:rPr>
          <w:sz w:val="20"/>
          <w:szCs w:val="20"/>
        </w:rPr>
        <w:t xml:space="preserve"> information about the company’s stock. Strong-form efficiency assumes that all information pertaining to a stock, whether public or inside information, is reflected in current market prices. Thus, no investors </w:t>
      </w:r>
      <w:r w:rsidR="00AC14CC">
        <w:rPr>
          <w:sz w:val="20"/>
          <w:szCs w:val="20"/>
        </w:rPr>
        <w:t>c</w:t>
      </w:r>
      <w:r w:rsidRPr="008D414C">
        <w:rPr>
          <w:sz w:val="20"/>
          <w:szCs w:val="20"/>
        </w:rPr>
        <w:t>ould earn abnormal returns in the stock market.</w:t>
      </w:r>
    </w:p>
    <w:p w14:paraId="483CFE7E" w14:textId="6DCDE8D7" w:rsidR="005D69EA" w:rsidRPr="008D414C" w:rsidRDefault="005D69EA" w:rsidP="00AC14CC">
      <w:pPr>
        <w:pStyle w:val="Answer-or-feedback"/>
        <w:ind w:left="907" w:firstLine="0"/>
        <w:rPr>
          <w:szCs w:val="20"/>
        </w:rPr>
      </w:pPr>
      <w:r w:rsidRPr="008D414C">
        <w:rPr>
          <w:szCs w:val="20"/>
        </w:rPr>
        <w:t>The Fama-French three-factor model has one factor for the excess market return (the market return minus the risk-free rate), a second factor for size (defined as the return on a portfolio of small firms minus the return on a portfolio of big firms), and a third factor for the book-to-market effect (defined as the return on a portfolio of firms with a high book-to-market ratio minus the return on a portfolio of firms with a low book-to-market ratio).</w:t>
      </w:r>
    </w:p>
    <w:p w14:paraId="66FBF47F" w14:textId="0BAB5179" w:rsidR="005D69EA" w:rsidRPr="008D414C" w:rsidRDefault="005D69EA" w:rsidP="00AC14CC">
      <w:pPr>
        <w:pStyle w:val="Answer-or-feedback"/>
        <w:spacing w:after="120"/>
        <w:ind w:left="907" w:firstLine="0"/>
        <w:rPr>
          <w:szCs w:val="20"/>
        </w:rPr>
      </w:pPr>
      <w:r w:rsidRPr="008D414C">
        <w:rPr>
          <w:szCs w:val="20"/>
        </w:rPr>
        <w:t>Most people don’t behave rationally in all aspects of their personal lives, and behavioral finance assumes that investors have the same types of psychological behaviors in their financial an</w:t>
      </w:r>
      <w:r w:rsidR="00AC14CC">
        <w:rPr>
          <w:szCs w:val="20"/>
        </w:rPr>
        <w:t>d</w:t>
      </w:r>
      <w:r w:rsidRPr="008D414C">
        <w:rPr>
          <w:szCs w:val="20"/>
        </w:rPr>
        <w:t xml:space="preserve"> personal lives. </w:t>
      </w:r>
    </w:p>
    <w:p w14:paraId="6ADFAC56" w14:textId="77777777" w:rsidR="005D69EA" w:rsidRDefault="005D69EA" w:rsidP="00AC14CC">
      <w:pPr>
        <w:spacing w:after="120"/>
        <w:rPr>
          <w:color w:val="000000"/>
          <w:sz w:val="20"/>
          <w:szCs w:val="20"/>
        </w:rPr>
      </w:pPr>
      <w:r w:rsidRPr="008D414C">
        <w:rPr>
          <w:color w:val="000000"/>
          <w:sz w:val="20"/>
          <w:szCs w:val="20"/>
        </w:rPr>
        <w:t>Herding is the tendency of investors to follow the crowd.</w:t>
      </w:r>
    </w:p>
    <w:p w14:paraId="21E35748" w14:textId="77777777" w:rsidR="005D69EA" w:rsidRDefault="005D69EA" w:rsidP="00AC14CC">
      <w:pPr>
        <w:spacing w:after="120"/>
        <w:rPr>
          <w:color w:val="000000"/>
          <w:sz w:val="20"/>
          <w:szCs w:val="20"/>
        </w:rPr>
      </w:pPr>
      <w:r w:rsidRPr="008D414C">
        <w:rPr>
          <w:color w:val="000000"/>
          <w:sz w:val="20"/>
          <w:szCs w:val="20"/>
        </w:rPr>
        <w:t>Anchoring bias is the human tendency to “</w:t>
      </w:r>
      <w:r w:rsidRPr="008D414C">
        <w:rPr>
          <w:sz w:val="20"/>
          <w:szCs w:val="20"/>
        </w:rPr>
        <w:t>anchor” too closely on recent events when predicting future events</w:t>
      </w:r>
      <w:r w:rsidRPr="008D414C">
        <w:rPr>
          <w:color w:val="000000"/>
          <w:sz w:val="20"/>
          <w:szCs w:val="20"/>
        </w:rPr>
        <w:t>. When combined with overconfidence, anchoring and herding can contribute to market bubbles.</w:t>
      </w:r>
    </w:p>
    <w:p w14:paraId="223AEE18" w14:textId="77777777" w:rsidR="00AC14CC" w:rsidRDefault="00AC14CC" w:rsidP="00AC14CC">
      <w:pPr>
        <w:spacing w:after="120"/>
        <w:rPr>
          <w:color w:val="000000"/>
          <w:sz w:val="20"/>
          <w:szCs w:val="20"/>
        </w:rPr>
      </w:pPr>
    </w:p>
    <w:p w14:paraId="757DB42F" w14:textId="77777777" w:rsidR="00AC14CC" w:rsidRPr="008D414C" w:rsidRDefault="00AC14CC" w:rsidP="00AC14CC">
      <w:pPr>
        <w:spacing w:after="120"/>
        <w:rPr>
          <w:color w:val="000000"/>
          <w:sz w:val="20"/>
          <w:szCs w:val="20"/>
        </w:rPr>
      </w:pPr>
    </w:p>
    <w:p w14:paraId="4D955A5F" w14:textId="19E5006E" w:rsidR="005D69EA" w:rsidRDefault="00AC14CC" w:rsidP="001A0ED8">
      <w:pPr>
        <w:pStyle w:val="Answer-or-feedback"/>
        <w:spacing w:after="120"/>
        <w:rPr>
          <w:szCs w:val="20"/>
        </w:rPr>
      </w:pPr>
      <w:r>
        <w:rPr>
          <w:szCs w:val="20"/>
        </w:rPr>
        <w:lastRenderedPageBreak/>
        <w:t>Chapter 7 stock valuation</w:t>
      </w:r>
    </w:p>
    <w:p w14:paraId="7C680056" w14:textId="77777777" w:rsidR="00AC14CC" w:rsidRPr="00AC14CC" w:rsidRDefault="00AC14CC" w:rsidP="00AC14CC">
      <w:pPr>
        <w:pStyle w:val="Answer-or-feedback"/>
        <w:ind w:left="907" w:firstLine="0"/>
        <w:rPr>
          <w:szCs w:val="20"/>
        </w:rPr>
      </w:pPr>
      <w:r w:rsidRPr="00AC14CC">
        <w:rPr>
          <w:szCs w:val="20"/>
        </w:rPr>
        <w:t>A proxy is a document giving one person the authority to act for another, typically the power to vote shares of common stock.</w:t>
      </w:r>
    </w:p>
    <w:p w14:paraId="3CE1E6AB" w14:textId="1539B0C4" w:rsidR="00AC14CC" w:rsidRPr="00AC14CC" w:rsidRDefault="00AC14CC" w:rsidP="00AC14CC">
      <w:pPr>
        <w:pStyle w:val="Answer-or-feedback"/>
        <w:ind w:left="907" w:firstLine="0"/>
        <w:rPr>
          <w:szCs w:val="20"/>
        </w:rPr>
      </w:pPr>
      <w:r>
        <w:rPr>
          <w:szCs w:val="20"/>
        </w:rPr>
        <w:t>Suppose</w:t>
      </w:r>
      <w:r w:rsidRPr="00AC14CC">
        <w:rPr>
          <w:szCs w:val="20"/>
        </w:rPr>
        <w:t xml:space="preserve"> earnings are poor and stockholders are dissatisfied</w:t>
      </w:r>
      <w:r>
        <w:rPr>
          <w:szCs w:val="20"/>
        </w:rPr>
        <w:t>. In that case</w:t>
      </w:r>
      <w:r w:rsidRPr="00AC14CC">
        <w:rPr>
          <w:szCs w:val="20"/>
        </w:rPr>
        <w:t>, an outside group may solicit the proxies to overthrow management and take control of the business, known as a proxy fight.</w:t>
      </w:r>
    </w:p>
    <w:p w14:paraId="415AF8AD" w14:textId="77777777" w:rsidR="00AC14CC" w:rsidRPr="00AC14CC" w:rsidRDefault="00AC14CC" w:rsidP="00AC14CC">
      <w:pPr>
        <w:pStyle w:val="Answer-or-feedback"/>
        <w:ind w:left="907" w:firstLine="0"/>
        <w:rPr>
          <w:szCs w:val="20"/>
        </w:rPr>
      </w:pPr>
      <w:r w:rsidRPr="00AC14CC">
        <w:rPr>
          <w:szCs w:val="20"/>
        </w:rPr>
        <w:t>The preemptive right gives the current shareholders the right to purchase any new shares issued in proportion to their current holdings. The preemptive right may or may not be required by state law. When granted, the preemptive right enables current owners to maintain their proportionate share of ownership and control of the business. It also prevents the sale of shares at low prices to new stockholders which would dilute the value of the previously issued shares.</w:t>
      </w:r>
    </w:p>
    <w:p w14:paraId="7BA7E78F" w14:textId="77777777" w:rsidR="00AC14CC" w:rsidRPr="00AC14CC" w:rsidRDefault="00AC14CC" w:rsidP="00AC14CC">
      <w:pPr>
        <w:pStyle w:val="Answer-or-feedback"/>
        <w:ind w:left="547" w:firstLine="0"/>
        <w:rPr>
          <w:szCs w:val="20"/>
        </w:rPr>
      </w:pPr>
      <w:r>
        <w:rPr>
          <w:szCs w:val="20"/>
        </w:rPr>
        <w:t xml:space="preserve">A </w:t>
      </w:r>
      <w:r w:rsidRPr="00AC14CC">
        <w:rPr>
          <w:szCs w:val="20"/>
        </w:rPr>
        <w:t>fi</w:t>
      </w:r>
      <w:r>
        <w:rPr>
          <w:szCs w:val="20"/>
        </w:rPr>
        <w:t>rm</w:t>
      </w:r>
      <w:r w:rsidRPr="00AC14CC">
        <w:rPr>
          <w:szCs w:val="20"/>
        </w:rPr>
        <w:t xml:space="preserve"> sometimes create</w:t>
      </w:r>
      <w:r>
        <w:rPr>
          <w:szCs w:val="20"/>
        </w:rPr>
        <w:t>s</w:t>
      </w:r>
      <w:r w:rsidRPr="00AC14CC">
        <w:rPr>
          <w:szCs w:val="20"/>
        </w:rPr>
        <w:t xml:space="preserve"> </w:t>
      </w:r>
      <w:r>
        <w:rPr>
          <w:szCs w:val="20"/>
        </w:rPr>
        <w:t>cl</w:t>
      </w:r>
      <w:r w:rsidRPr="00AC14CC">
        <w:rPr>
          <w:szCs w:val="20"/>
        </w:rPr>
        <w:t>a</w:t>
      </w:r>
      <w:r>
        <w:rPr>
          <w:szCs w:val="20"/>
        </w:rPr>
        <w:t>ssi</w:t>
      </w:r>
      <w:r w:rsidRPr="00AC14CC">
        <w:rPr>
          <w:szCs w:val="20"/>
        </w:rPr>
        <w:t>fi</w:t>
      </w:r>
      <w:r>
        <w:rPr>
          <w:szCs w:val="20"/>
        </w:rPr>
        <w:t>ed stock</w:t>
      </w:r>
      <w:r w:rsidRPr="00AC14CC">
        <w:rPr>
          <w:szCs w:val="20"/>
        </w:rPr>
        <w:t xml:space="preserve"> to meet special needs and circumstances. Generally, when special stock classifications are used, one type is designated Class A, another Class B, and so on. Class A might be entitled to</w:t>
      </w:r>
      <w:r>
        <w:rPr>
          <w:szCs w:val="20"/>
        </w:rPr>
        <w:t xml:space="preserve"> </w:t>
      </w:r>
      <w:r w:rsidRPr="00AC14CC">
        <w:rPr>
          <w:szCs w:val="20"/>
        </w:rPr>
        <w:t>receive dividends before dividends can be paid on Class B stock. Class B might have the exclusive right to vote.</w:t>
      </w:r>
    </w:p>
    <w:p w14:paraId="736B50FB" w14:textId="1F61EB27" w:rsidR="00AC14CC" w:rsidRPr="00AC14CC" w:rsidRDefault="00AC14CC" w:rsidP="00AC14CC">
      <w:pPr>
        <w:pStyle w:val="Answer-or-feedback"/>
        <w:spacing w:after="120"/>
        <w:ind w:left="547" w:firstLine="0"/>
        <w:rPr>
          <w:szCs w:val="20"/>
        </w:rPr>
      </w:pPr>
      <w:r w:rsidRPr="00AC14CC">
        <w:rPr>
          <w:szCs w:val="20"/>
        </w:rPr>
        <w:t xml:space="preserve">Founders’ shares are stocks owned by the firm’s founders </w:t>
      </w:r>
      <w:r>
        <w:rPr>
          <w:szCs w:val="20"/>
        </w:rPr>
        <w:t>wi</w:t>
      </w:r>
      <w:r w:rsidRPr="00AC14CC">
        <w:rPr>
          <w:szCs w:val="20"/>
        </w:rPr>
        <w:t>th sole voting rights but restricted dividends for a specified number of years.</w:t>
      </w:r>
    </w:p>
    <w:p w14:paraId="4BE5E5D5" w14:textId="15AF9948" w:rsidR="00AC14CC" w:rsidRPr="00AC14CC" w:rsidRDefault="00AC14CC" w:rsidP="00AC14CC">
      <w:pPr>
        <w:pStyle w:val="Answer-or-feedback"/>
        <w:rPr>
          <w:szCs w:val="20"/>
        </w:rPr>
      </w:pPr>
      <w:r w:rsidRPr="00AC14CC">
        <w:rPr>
          <w:szCs w:val="20"/>
        </w:rPr>
        <w:t>The free cash flow valuation model defines the total value of a company as the value of operations plus the value of nonoperating assets.</w:t>
      </w:r>
    </w:p>
    <w:p w14:paraId="4DAF03A1" w14:textId="77777777" w:rsidR="00AC14CC" w:rsidRPr="00AC14CC" w:rsidRDefault="00AC14CC" w:rsidP="00AC14CC">
      <w:pPr>
        <w:pStyle w:val="Answer-or-feedback"/>
        <w:ind w:left="907"/>
        <w:rPr>
          <w:szCs w:val="20"/>
        </w:rPr>
      </w:pPr>
      <w:r w:rsidRPr="00AC14CC">
        <w:rPr>
          <w:szCs w:val="20"/>
        </w:rPr>
        <w:t>The value of operations is the present value of all the future expected free cash flows when discounted at the weighted average cost of capital:</w:t>
      </w:r>
    </w:p>
    <w:p w14:paraId="4E2B1CDE" w14:textId="77777777" w:rsidR="00AC14CC" w:rsidRPr="00AC14CC" w:rsidRDefault="00AC14CC" w:rsidP="00AC14CC">
      <w:pPr>
        <w:pStyle w:val="Answer-or-feedback"/>
        <w:ind w:left="907" w:firstLine="0"/>
        <w:rPr>
          <w:szCs w:val="20"/>
        </w:rPr>
      </w:pPr>
      <w:r w:rsidRPr="00AC14CC">
        <w:rPr>
          <w:szCs w:val="20"/>
        </w:rPr>
        <w:object w:dxaOrig="2592" w:dyaOrig="720" w14:anchorId="185572F6">
          <v:shape id="_x0000_i1028" type="#_x0000_t75" style="width:129.75pt;height:36pt" o:ole="">
            <v:imagedata r:id="rId10" o:title=""/>
          </v:shape>
          <o:OLEObject Type="Embed" ProgID="Equation.DSMT4" ShapeID="_x0000_i1028" DrawAspect="Content" ObjectID="_1790678806" r:id="rId11"/>
        </w:object>
      </w:r>
    </w:p>
    <w:p w14:paraId="0FAC72E9" w14:textId="77777777" w:rsidR="00AC14CC" w:rsidRDefault="00AC14CC" w:rsidP="00AC14CC">
      <w:pPr>
        <w:pStyle w:val="Answer-or-feedback"/>
        <w:spacing w:after="120"/>
        <w:ind w:left="907"/>
        <w:rPr>
          <w:szCs w:val="20"/>
        </w:rPr>
      </w:pPr>
      <w:r w:rsidRPr="00AC14CC">
        <w:rPr>
          <w:szCs w:val="20"/>
        </w:rPr>
        <w:t xml:space="preserve">Nonoperating assets include investments in marketable securities and noncontrolling interests in the stock </w:t>
      </w:r>
    </w:p>
    <w:p w14:paraId="66FF4145" w14:textId="3AC0C0AD" w:rsidR="00AC14CC" w:rsidRPr="00AC14CC" w:rsidRDefault="00AC14CC" w:rsidP="00AC14CC">
      <w:pPr>
        <w:pStyle w:val="Answer-or-feedback"/>
        <w:spacing w:after="120"/>
        <w:ind w:left="907"/>
        <w:rPr>
          <w:szCs w:val="20"/>
        </w:rPr>
      </w:pPr>
      <w:r w:rsidRPr="00AC14CC">
        <w:rPr>
          <w:szCs w:val="20"/>
        </w:rPr>
        <w:t xml:space="preserve">of other companies, and other financial securities. </w:t>
      </w:r>
    </w:p>
    <w:p w14:paraId="6977DEFD" w14:textId="65C101C0" w:rsidR="00AC14CC" w:rsidRPr="00AC14CC" w:rsidRDefault="00AC14CC" w:rsidP="00AC14CC">
      <w:pPr>
        <w:pStyle w:val="Answer-or-feedback"/>
        <w:ind w:left="907" w:firstLine="0"/>
        <w:rPr>
          <w:szCs w:val="20"/>
        </w:rPr>
      </w:pPr>
      <w:r w:rsidRPr="00AC14CC">
        <w:rPr>
          <w:szCs w:val="20"/>
        </w:rPr>
        <w:t>Constant growth occurs when a firm’s earnings, dividends, and free cash flows grow at some constant long-term rate. In this situation, the constant growth model can be used to estimate the present value of the growing cash flows or dividends. For free cash flows, the present value is:</w:t>
      </w:r>
    </w:p>
    <w:p w14:paraId="36B27178" w14:textId="77777777" w:rsidR="00AC14CC" w:rsidRPr="00AC14CC" w:rsidRDefault="00AC14CC" w:rsidP="00AC14CC">
      <w:pPr>
        <w:pStyle w:val="Answer-or-feedback"/>
        <w:ind w:left="907" w:firstLine="0"/>
        <w:rPr>
          <w:szCs w:val="20"/>
        </w:rPr>
      </w:pPr>
      <w:proofErr w:type="spellStart"/>
      <w:r w:rsidRPr="00AC14CC">
        <w:rPr>
          <w:szCs w:val="20"/>
        </w:rPr>
        <w:t>V</w:t>
      </w:r>
      <w:r w:rsidRPr="00AC14CC">
        <w:rPr>
          <w:szCs w:val="20"/>
          <w:vertAlign w:val="subscript"/>
        </w:rPr>
        <w:t>op</w:t>
      </w:r>
      <w:proofErr w:type="spellEnd"/>
      <w:r w:rsidRPr="00AC14CC">
        <w:rPr>
          <w:szCs w:val="20"/>
          <w:vertAlign w:val="subscript"/>
        </w:rPr>
        <w:t xml:space="preserve"> </w:t>
      </w:r>
      <w:r w:rsidRPr="00AC14CC">
        <w:rPr>
          <w:szCs w:val="20"/>
        </w:rPr>
        <w:t xml:space="preserve">(constant growth) </w:t>
      </w:r>
      <w:r w:rsidRPr="00AC14CC">
        <w:rPr>
          <w:szCs w:val="20"/>
        </w:rPr>
        <w:object w:dxaOrig="1296" w:dyaOrig="720" w14:anchorId="212808A2">
          <v:shape id="_x0000_i1029" type="#_x0000_t75" style="width:64.5pt;height:36pt" o:ole="">
            <v:imagedata r:id="rId12" o:title=""/>
          </v:shape>
          <o:OLEObject Type="Embed" ProgID="Equation.DSMT4" ShapeID="_x0000_i1029" DrawAspect="Content" ObjectID="_1790678807" r:id="rId13"/>
        </w:object>
      </w:r>
      <w:r w:rsidRPr="00AC14CC">
        <w:rPr>
          <w:szCs w:val="20"/>
        </w:rPr>
        <w:t xml:space="preserve"> </w:t>
      </w:r>
      <w:r w:rsidRPr="00AC14CC">
        <w:rPr>
          <w:szCs w:val="20"/>
        </w:rPr>
        <w:object w:dxaOrig="1296" w:dyaOrig="720" w14:anchorId="17DFEA59">
          <v:shape id="_x0000_i1030" type="#_x0000_t75" style="width:64.5pt;height:36pt" o:ole="">
            <v:imagedata r:id="rId14" o:title=""/>
          </v:shape>
          <o:OLEObject Type="Embed" ProgID="Equation.DSMT4" ShapeID="_x0000_i1030" DrawAspect="Content" ObjectID="_1790678808" r:id="rId15"/>
        </w:object>
      </w:r>
    </w:p>
    <w:p w14:paraId="76B7CF19" w14:textId="77777777" w:rsidR="00AC14CC" w:rsidRPr="00AC14CC" w:rsidRDefault="00AC14CC" w:rsidP="00AC14CC">
      <w:pPr>
        <w:pStyle w:val="Answer-or-feedback"/>
        <w:ind w:left="907" w:firstLine="0"/>
        <w:rPr>
          <w:szCs w:val="20"/>
        </w:rPr>
      </w:pPr>
      <w:r w:rsidRPr="00AC14CC">
        <w:rPr>
          <w:szCs w:val="20"/>
        </w:rPr>
        <w:t>When applied to dividends, the model is:</w:t>
      </w:r>
    </w:p>
    <w:p w14:paraId="0490EF5E" w14:textId="77777777" w:rsidR="00AC14CC" w:rsidRPr="00AC14CC" w:rsidRDefault="00AC14CC" w:rsidP="00AC14CC">
      <w:pPr>
        <w:pStyle w:val="Answer-or-feedback"/>
        <w:ind w:left="907" w:firstLine="0"/>
        <w:rPr>
          <w:szCs w:val="20"/>
        </w:rPr>
      </w:pPr>
      <w:r w:rsidRPr="00AC14CC">
        <w:rPr>
          <w:szCs w:val="20"/>
        </w:rPr>
        <w:object w:dxaOrig="432" w:dyaOrig="432" w14:anchorId="042E145B">
          <v:shape id="_x0000_i1031" type="#_x0000_t75" style="width:21.75pt;height:21.75pt" o:ole="">
            <v:imagedata r:id="rId16" o:title=""/>
          </v:shape>
          <o:OLEObject Type="Embed" ProgID="Equation.DSMT4" ShapeID="_x0000_i1031" DrawAspect="Content" ObjectID="_1790678809" r:id="rId17"/>
        </w:object>
      </w:r>
      <w:r w:rsidRPr="00AC14CC">
        <w:rPr>
          <w:szCs w:val="20"/>
        </w:rPr>
        <w:object w:dxaOrig="1728" w:dyaOrig="720" w14:anchorId="76CF8720">
          <v:shape id="_x0000_i1032" type="#_x0000_t75" style="width:86.25pt;height:36pt" o:ole="">
            <v:imagedata r:id="rId18" o:title=""/>
          </v:shape>
          <o:OLEObject Type="Embed" ProgID="Equation.DSMT4" ShapeID="_x0000_i1032" DrawAspect="Content" ObjectID="_1790678810" r:id="rId19"/>
        </w:object>
      </w:r>
    </w:p>
    <w:p w14:paraId="7BF9D72D" w14:textId="77777777" w:rsidR="00AC14CC" w:rsidRDefault="00AC14CC" w:rsidP="00AC14CC">
      <w:pPr>
        <w:pStyle w:val="Answer-or-feedback"/>
        <w:ind w:left="907"/>
        <w:rPr>
          <w:szCs w:val="20"/>
        </w:rPr>
      </w:pPr>
      <w:r w:rsidRPr="00AC14CC">
        <w:rPr>
          <w:szCs w:val="20"/>
        </w:rPr>
        <w:t xml:space="preserve">The horizon date is the last year in a cash flow forecast. Cash flows may grow unevenly during the forecast </w:t>
      </w:r>
    </w:p>
    <w:p w14:paraId="473B913C" w14:textId="1670AF18" w:rsidR="00AC14CC" w:rsidRPr="00AC14CC" w:rsidRDefault="00AC14CC" w:rsidP="00AC14CC">
      <w:pPr>
        <w:pStyle w:val="Answer-or-feedback"/>
        <w:ind w:left="907"/>
        <w:rPr>
          <w:szCs w:val="20"/>
        </w:rPr>
      </w:pPr>
      <w:r w:rsidRPr="00AC14CC">
        <w:rPr>
          <w:szCs w:val="20"/>
        </w:rPr>
        <w:t>period but are assumed to grow at a constant rate for all periods after the horizon date.</w:t>
      </w:r>
    </w:p>
    <w:p w14:paraId="533F8B74" w14:textId="77777777" w:rsidR="00AC14CC" w:rsidRPr="00AC14CC" w:rsidRDefault="00AC14CC" w:rsidP="00AC14CC">
      <w:pPr>
        <w:pStyle w:val="Answer-or-feedback"/>
        <w:spacing w:after="120"/>
        <w:ind w:left="907"/>
        <w:rPr>
          <w:szCs w:val="20"/>
        </w:rPr>
      </w:pPr>
      <w:r w:rsidRPr="00AC14CC">
        <w:rPr>
          <w:szCs w:val="20"/>
        </w:rPr>
        <w:t>The horizon value is the value all cash flows beyond the horizon date when discounted back to the horizon date.</w:t>
      </w:r>
    </w:p>
    <w:p w14:paraId="47D5C71E" w14:textId="77777777" w:rsidR="00AC14CC" w:rsidRPr="00AC14CC" w:rsidRDefault="00AC14CC" w:rsidP="00AC14CC">
      <w:pPr>
        <w:pStyle w:val="Answer-or-feedback"/>
        <w:spacing w:after="120"/>
        <w:ind w:left="907" w:firstLine="0"/>
        <w:rPr>
          <w:szCs w:val="20"/>
        </w:rPr>
      </w:pPr>
      <w:r w:rsidRPr="00AC14CC">
        <w:rPr>
          <w:szCs w:val="20"/>
        </w:rPr>
        <w:lastRenderedPageBreak/>
        <w:t xml:space="preserve">When applied to free cash flows, the horizon value is the value of operations at the end of the explicit forecast period. It is equal to the present value of all free cash flows beyond the forecast period, discounted back to the end of the forecast period at the weighted average cost of capital. Because growth after the horizon is constant, the constant growth model can be applied at the horizon date: </w:t>
      </w:r>
    </w:p>
    <w:p w14:paraId="6F44ABE7" w14:textId="77777777" w:rsidR="00AC14CC" w:rsidRPr="00AC14CC" w:rsidRDefault="00AC14CC" w:rsidP="00AC14CC">
      <w:pPr>
        <w:pStyle w:val="Answer-or-feedback"/>
        <w:ind w:left="907" w:firstLine="0"/>
        <w:rPr>
          <w:szCs w:val="20"/>
        </w:rPr>
      </w:pPr>
      <w:r w:rsidRPr="00AC14CC">
        <w:rPr>
          <w:szCs w:val="20"/>
        </w:rPr>
        <w:object w:dxaOrig="4176" w:dyaOrig="720" w14:anchorId="127FCCF1">
          <v:shape id="_x0000_i1033" type="#_x0000_t75" style="width:208.5pt;height:36pt" o:ole="">
            <v:imagedata r:id="rId20" o:title=""/>
          </v:shape>
          <o:OLEObject Type="Embed" ProgID="Equation.DSMT4" ShapeID="_x0000_i1033" DrawAspect="Content" ObjectID="_1790678811" r:id="rId21"/>
        </w:object>
      </w:r>
    </w:p>
    <w:p w14:paraId="3883AD3C" w14:textId="77777777" w:rsidR="00AC14CC" w:rsidRPr="00AC14CC" w:rsidRDefault="00AC14CC" w:rsidP="00AC14CC">
      <w:pPr>
        <w:pStyle w:val="Answer-or-feedback"/>
        <w:ind w:left="907" w:firstLine="0"/>
        <w:rPr>
          <w:szCs w:val="20"/>
        </w:rPr>
      </w:pPr>
      <w:r w:rsidRPr="00AC14CC">
        <w:rPr>
          <w:szCs w:val="20"/>
        </w:rPr>
        <w:t>When applied to dividends, the horizon value is the intrinsic stock price at the end of the explicit forecast period. It is equal to the present value of all dividends beyond the forecast period, discounted back to the end of the forecast period at the required rate of return on stock. Because growth after the horizon is constant, the constant growth model can be applied at the horizon date:</w:t>
      </w:r>
    </w:p>
    <w:p w14:paraId="3FE8513E" w14:textId="77777777" w:rsidR="00AC14CC" w:rsidRPr="00AC14CC" w:rsidRDefault="00AC14CC" w:rsidP="00AC14CC">
      <w:pPr>
        <w:pStyle w:val="Answer-or-feedback"/>
        <w:spacing w:after="120"/>
        <w:ind w:left="907" w:firstLine="0"/>
        <w:rPr>
          <w:szCs w:val="20"/>
        </w:rPr>
      </w:pPr>
      <w:r w:rsidRPr="00AC14CC">
        <w:rPr>
          <w:szCs w:val="20"/>
        </w:rPr>
        <w:t>Horizon value for stock =</w:t>
      </w:r>
      <w:r w:rsidRPr="00AC14CC">
        <w:rPr>
          <w:szCs w:val="20"/>
        </w:rPr>
        <w:object w:dxaOrig="2304" w:dyaOrig="720" w14:anchorId="3FBFE606">
          <v:shape id="_x0000_i1034" type="#_x0000_t75" style="width:115.5pt;height:36pt" o:ole="">
            <v:imagedata r:id="rId22" o:title=""/>
          </v:shape>
          <o:OLEObject Type="Embed" ProgID="Equation.DSMT4" ShapeID="_x0000_i1034" DrawAspect="Content" ObjectID="_1790678812" r:id="rId23"/>
        </w:object>
      </w:r>
    </w:p>
    <w:p w14:paraId="3241CD8C" w14:textId="770EAD15" w:rsidR="00AC14CC" w:rsidRDefault="00AC14CC" w:rsidP="00AC14CC">
      <w:pPr>
        <w:pStyle w:val="Answer-or-feedback"/>
        <w:spacing w:after="120"/>
        <w:ind w:left="907" w:firstLine="0"/>
        <w:rPr>
          <w:szCs w:val="20"/>
        </w:rPr>
      </w:pPr>
    </w:p>
    <w:p w14:paraId="64B7486F" w14:textId="77777777" w:rsidR="00AC14CC" w:rsidRPr="00AC14CC" w:rsidRDefault="00AC14CC" w:rsidP="00AC14CC">
      <w:pPr>
        <w:pStyle w:val="Answer-or-feedback"/>
        <w:spacing w:after="120"/>
        <w:ind w:left="907" w:firstLine="0"/>
        <w:rPr>
          <w:szCs w:val="20"/>
        </w:rPr>
      </w:pPr>
      <w:r w:rsidRPr="00AC14CC">
        <w:rPr>
          <w:szCs w:val="20"/>
        </w:rPr>
        <w:t xml:space="preserve">A multistage valuation model is used when the growth rate is nonconstant for several years before becoming constant. In this case, the constant growth model is applied at the end of the forecast horizon when the growth rate has become constant. The total present value of cash flows is the present value of all cash flows in the forecast periods plus the present value of the horizon value: </w:t>
      </w:r>
    </w:p>
    <w:p w14:paraId="6662B386" w14:textId="77777777" w:rsidR="00AC14CC" w:rsidRPr="00AC14CC" w:rsidRDefault="00AC14CC" w:rsidP="00AC14CC">
      <w:pPr>
        <w:pStyle w:val="Answer-or-feedback"/>
        <w:spacing w:after="120"/>
        <w:ind w:left="907" w:firstLine="0"/>
        <w:rPr>
          <w:szCs w:val="20"/>
        </w:rPr>
      </w:pPr>
      <w:r w:rsidRPr="00AC14CC">
        <w:rPr>
          <w:szCs w:val="20"/>
        </w:rPr>
        <w:t>V</w:t>
      </w:r>
      <w:r w:rsidRPr="00AC14CC">
        <w:rPr>
          <w:szCs w:val="20"/>
          <w:vertAlign w:val="subscript"/>
        </w:rPr>
        <w:t>op,0</w:t>
      </w:r>
      <w:r w:rsidRPr="00AC14CC">
        <w:rPr>
          <w:szCs w:val="20"/>
        </w:rPr>
        <w:t xml:space="preserve"> = </w:t>
      </w:r>
      <w:r w:rsidRPr="00AC14CC">
        <w:rPr>
          <w:szCs w:val="20"/>
        </w:rPr>
        <w:object w:dxaOrig="2880" w:dyaOrig="720" w14:anchorId="179F8D70">
          <v:shape id="_x0000_i1035" type="#_x0000_t75" style="width:2in;height:36pt" o:ole="">
            <v:imagedata r:id="rId24" o:title=""/>
          </v:shape>
          <o:OLEObject Type="Embed" ProgID="Equation.DSMT4" ShapeID="_x0000_i1035" DrawAspect="Content" ObjectID="_1790678813" r:id="rId25"/>
        </w:object>
      </w:r>
    </w:p>
    <w:p w14:paraId="738DF66A" w14:textId="77777777" w:rsidR="00AC14CC" w:rsidRPr="00AC14CC" w:rsidRDefault="00AC14CC" w:rsidP="00AC14CC">
      <w:pPr>
        <w:pStyle w:val="Answer-or-feedback"/>
        <w:spacing w:after="120"/>
        <w:ind w:left="907" w:firstLine="0"/>
        <w:rPr>
          <w:szCs w:val="20"/>
        </w:rPr>
      </w:pPr>
      <w:r w:rsidRPr="00AC14CC">
        <w:rPr>
          <w:szCs w:val="20"/>
        </w:rPr>
        <w:t>When applied to dividends, the present value of dividends is:</w:t>
      </w:r>
    </w:p>
    <w:p w14:paraId="28333F70" w14:textId="77777777" w:rsidR="00AC14CC" w:rsidRPr="00AC14CC" w:rsidRDefault="00AC14CC" w:rsidP="00AC14CC">
      <w:pPr>
        <w:pStyle w:val="Answer-or-feedback"/>
        <w:spacing w:after="120"/>
        <w:ind w:left="907" w:firstLine="0"/>
        <w:rPr>
          <w:szCs w:val="20"/>
        </w:rPr>
      </w:pPr>
      <w:r w:rsidRPr="00AC14CC">
        <w:rPr>
          <w:szCs w:val="20"/>
        </w:rPr>
        <w:object w:dxaOrig="2304" w:dyaOrig="576" w14:anchorId="5F01AEF1">
          <v:shape id="_x0000_i1036" type="#_x0000_t75" style="width:115.5pt;height:28.5pt" o:ole="">
            <v:imagedata r:id="rId26" o:title=""/>
          </v:shape>
          <o:OLEObject Type="Embed" ProgID="Equation.DSMT4" ShapeID="_x0000_i1036" DrawAspect="Content" ObjectID="_1790678814" r:id="rId27"/>
        </w:object>
      </w:r>
    </w:p>
    <w:p w14:paraId="51157A23" w14:textId="6297703C" w:rsidR="00AC14CC" w:rsidRPr="00AC14CC" w:rsidRDefault="00AC14CC" w:rsidP="00AC14CC">
      <w:pPr>
        <w:pStyle w:val="Answer-or-feedback"/>
        <w:ind w:left="907" w:firstLine="0"/>
        <w:rPr>
          <w:szCs w:val="20"/>
        </w:rPr>
      </w:pPr>
      <w:r w:rsidRPr="00AC14CC">
        <w:rPr>
          <w:szCs w:val="20"/>
        </w:rPr>
        <w:t>Estimated value (</w:t>
      </w:r>
      <w:r w:rsidRPr="00AC14CC">
        <w:rPr>
          <w:szCs w:val="20"/>
        </w:rPr>
        <w:object w:dxaOrig="144" w:dyaOrig="432" w14:anchorId="5EA148AA">
          <v:shape id="_x0000_i1037" type="#_x0000_t75" style="width:7.5pt;height:21.75pt" o:ole="">
            <v:imagedata r:id="rId28" o:title=""/>
          </v:shape>
          <o:OLEObject Type="Embed" ProgID="Equation.DSMT4" ShapeID="_x0000_i1037" DrawAspect="Content" ObjectID="_1790678815" r:id="rId29"/>
        </w:object>
      </w:r>
      <w:r w:rsidRPr="00AC14CC">
        <w:rPr>
          <w:szCs w:val="20"/>
        </w:rPr>
        <w:t>) is the present value of the expected future cash flows.</w:t>
      </w:r>
    </w:p>
    <w:p w14:paraId="3FFB715F" w14:textId="77777777" w:rsidR="00AC14CC" w:rsidRPr="00AC14CC" w:rsidRDefault="00AC14CC" w:rsidP="00AC14CC">
      <w:pPr>
        <w:pStyle w:val="Answer-or-feedback"/>
        <w:spacing w:after="120"/>
        <w:ind w:left="907"/>
        <w:rPr>
          <w:szCs w:val="20"/>
        </w:rPr>
      </w:pPr>
      <w:r w:rsidRPr="00AC14CC">
        <w:rPr>
          <w:szCs w:val="20"/>
        </w:rPr>
        <w:t>The market price (P</w:t>
      </w:r>
      <w:r w:rsidRPr="00AC14CC">
        <w:rPr>
          <w:szCs w:val="20"/>
          <w:vertAlign w:val="subscript"/>
        </w:rPr>
        <w:t>0</w:t>
      </w:r>
      <w:r w:rsidRPr="00AC14CC">
        <w:rPr>
          <w:szCs w:val="20"/>
        </w:rPr>
        <w:t>) is the price at which an asset can be sold.</w:t>
      </w:r>
    </w:p>
    <w:p w14:paraId="2C392F7E" w14:textId="5469B9F8" w:rsidR="00AC14CC" w:rsidRPr="00AC14CC" w:rsidRDefault="00AC14CC" w:rsidP="00AC14CC">
      <w:pPr>
        <w:pStyle w:val="Answer-or-feedback"/>
        <w:spacing w:after="120"/>
        <w:rPr>
          <w:szCs w:val="20"/>
        </w:rPr>
      </w:pPr>
      <w:r w:rsidRPr="00AC14CC">
        <w:rPr>
          <w:szCs w:val="20"/>
        </w:rPr>
        <w:t xml:space="preserve">The required rate of return on common stock, denoted by </w:t>
      </w:r>
      <w:proofErr w:type="spellStart"/>
      <w:r w:rsidRPr="00AC14CC">
        <w:rPr>
          <w:szCs w:val="20"/>
        </w:rPr>
        <w:t>r</w:t>
      </w:r>
      <w:r w:rsidRPr="00AC14CC">
        <w:rPr>
          <w:szCs w:val="20"/>
          <w:vertAlign w:val="subscript"/>
        </w:rPr>
        <w:t>s</w:t>
      </w:r>
      <w:proofErr w:type="spellEnd"/>
      <w:r w:rsidRPr="00AC14CC">
        <w:rPr>
          <w:szCs w:val="20"/>
        </w:rPr>
        <w:t>, is the minimum acceptable rate of return considering both its riskiness and the returns available on other investments.</w:t>
      </w:r>
    </w:p>
    <w:p w14:paraId="28DFB06B" w14:textId="77777777" w:rsidR="00AC14CC" w:rsidRPr="00AC14CC" w:rsidRDefault="00AC14CC" w:rsidP="00AC14CC">
      <w:pPr>
        <w:pStyle w:val="Answer-or-feedback"/>
        <w:ind w:left="907"/>
        <w:rPr>
          <w:szCs w:val="20"/>
        </w:rPr>
      </w:pPr>
      <w:r w:rsidRPr="00AC14CC">
        <w:rPr>
          <w:szCs w:val="20"/>
        </w:rPr>
        <w:t xml:space="preserve">The expected rate of return, denoted by </w:t>
      </w:r>
      <w:r w:rsidRPr="00AC14CC">
        <w:rPr>
          <w:szCs w:val="20"/>
        </w:rPr>
        <w:object w:dxaOrig="288" w:dyaOrig="288" w14:anchorId="6C6D77EC">
          <v:shape id="_x0000_i1038" type="#_x0000_t75" style="width:14.25pt;height:14.25pt" o:ole="">
            <v:imagedata r:id="rId30" o:title=""/>
          </v:shape>
          <o:OLEObject Type="Embed" ProgID="Equation.DSMT4" ShapeID="_x0000_i1038" DrawAspect="Content" ObjectID="_1790678816" r:id="rId31"/>
        </w:object>
      </w:r>
      <w:r w:rsidRPr="00AC14CC">
        <w:rPr>
          <w:szCs w:val="20"/>
        </w:rPr>
        <w:t xml:space="preserve"> is the rate of return expected on a stock given its current price and expected future cash flows. If the stock is in equilibrium, the required rate of return will equal the expected rate of return. </w:t>
      </w:r>
    </w:p>
    <w:p w14:paraId="287FC2D4" w14:textId="79FF6DC0" w:rsidR="00AC14CC" w:rsidRPr="00AC14CC" w:rsidRDefault="00AC14CC" w:rsidP="00AC14CC">
      <w:pPr>
        <w:pStyle w:val="Answer-or-feedback"/>
        <w:spacing w:after="120"/>
        <w:ind w:left="907"/>
        <w:rPr>
          <w:szCs w:val="20"/>
        </w:rPr>
      </w:pPr>
      <w:r w:rsidRPr="00AC14CC">
        <w:rPr>
          <w:szCs w:val="20"/>
        </w:rPr>
        <w:t xml:space="preserve">The realized (actual) rate of return, denoted by </w:t>
      </w:r>
      <w:r w:rsidRPr="00AC14CC">
        <w:rPr>
          <w:szCs w:val="20"/>
        </w:rPr>
        <w:object w:dxaOrig="288" w:dyaOrig="288" w14:anchorId="3E9E9497">
          <v:shape id="_x0000_i1039" type="#_x0000_t75" style="width:14.25pt;height:14.25pt" o:ole="">
            <v:imagedata r:id="rId32" o:title=""/>
          </v:shape>
          <o:OLEObject Type="Embed" ProgID="Equation.DSMT4" ShapeID="_x0000_i1039" DrawAspect="Content" ObjectID="_1790678817" r:id="rId33"/>
        </w:object>
      </w:r>
      <w:r w:rsidRPr="00AC14CC">
        <w:rPr>
          <w:szCs w:val="20"/>
        </w:rPr>
        <w:t xml:space="preserve"> is the return </w:t>
      </w:r>
      <w:r>
        <w:rPr>
          <w:szCs w:val="20"/>
        </w:rPr>
        <w:t xml:space="preserve">rate </w:t>
      </w:r>
      <w:r w:rsidRPr="00AC14CC">
        <w:rPr>
          <w:szCs w:val="20"/>
        </w:rPr>
        <w:t>that was realized at the end of some holding period. Although expected and required rates of return must always be positive, realized rates of return over some periods may be negative.</w:t>
      </w:r>
    </w:p>
    <w:p w14:paraId="4861FD35" w14:textId="4A83C2E7" w:rsidR="00AC14CC" w:rsidRPr="00AC14CC" w:rsidRDefault="00AC14CC" w:rsidP="00AC14CC">
      <w:pPr>
        <w:pStyle w:val="Answer-or-feedback"/>
        <w:ind w:left="907" w:firstLine="0"/>
        <w:rPr>
          <w:szCs w:val="20"/>
        </w:rPr>
      </w:pPr>
      <w:r w:rsidRPr="00AC14CC">
        <w:rPr>
          <w:szCs w:val="20"/>
        </w:rPr>
        <w:t>The capital gains yield results from changing prices and is calculated as (P</w:t>
      </w:r>
      <w:r w:rsidRPr="00AC14CC">
        <w:rPr>
          <w:szCs w:val="20"/>
          <w:vertAlign w:val="subscript"/>
        </w:rPr>
        <w:t>1</w:t>
      </w:r>
      <w:r w:rsidRPr="00AC14CC">
        <w:rPr>
          <w:szCs w:val="20"/>
        </w:rPr>
        <w:t xml:space="preserve"> – P</w:t>
      </w:r>
      <w:r w:rsidRPr="00AC14CC">
        <w:rPr>
          <w:szCs w:val="20"/>
          <w:vertAlign w:val="subscript"/>
        </w:rPr>
        <w:t>0</w:t>
      </w:r>
      <w:r w:rsidRPr="00AC14CC">
        <w:rPr>
          <w:szCs w:val="20"/>
        </w:rPr>
        <w:t>)/P</w:t>
      </w:r>
      <w:r w:rsidRPr="00AC14CC">
        <w:rPr>
          <w:szCs w:val="20"/>
          <w:vertAlign w:val="subscript"/>
        </w:rPr>
        <w:t>0</w:t>
      </w:r>
      <w:r w:rsidRPr="00AC14CC">
        <w:rPr>
          <w:szCs w:val="20"/>
        </w:rPr>
        <w:t>, where P</w:t>
      </w:r>
      <w:r w:rsidRPr="00AC14CC">
        <w:rPr>
          <w:szCs w:val="20"/>
          <w:vertAlign w:val="subscript"/>
        </w:rPr>
        <w:t>0</w:t>
      </w:r>
      <w:r w:rsidRPr="00AC14CC">
        <w:rPr>
          <w:szCs w:val="20"/>
        </w:rPr>
        <w:t xml:space="preserve"> is the beginning-of-period price and P</w:t>
      </w:r>
      <w:r w:rsidRPr="00AC14CC">
        <w:rPr>
          <w:szCs w:val="20"/>
          <w:vertAlign w:val="subscript"/>
        </w:rPr>
        <w:t>1</w:t>
      </w:r>
      <w:r w:rsidRPr="00AC14CC">
        <w:rPr>
          <w:szCs w:val="20"/>
        </w:rPr>
        <w:t xml:space="preserve"> is the end-of-period price. For a constant growth stock, the capital gains yield is g, the constant growth rate. </w:t>
      </w:r>
    </w:p>
    <w:p w14:paraId="723BAAF3" w14:textId="77777777" w:rsidR="00AC14CC" w:rsidRPr="00AC14CC" w:rsidRDefault="00AC14CC" w:rsidP="00AC14CC">
      <w:pPr>
        <w:pStyle w:val="Answer-or-feedback"/>
        <w:ind w:left="907"/>
        <w:rPr>
          <w:szCs w:val="20"/>
        </w:rPr>
      </w:pPr>
      <w:r w:rsidRPr="00AC14CC">
        <w:rPr>
          <w:szCs w:val="20"/>
        </w:rPr>
        <w:lastRenderedPageBreak/>
        <w:t>The dividend yield on a stock can be defined as either the end-of-period dividend divided by the beginning-of-period price, or the ratio of the current dividend to the current price. Valuation formulas use the former definition.</w:t>
      </w:r>
    </w:p>
    <w:p w14:paraId="761A1E2A" w14:textId="77777777" w:rsidR="00AC14CC" w:rsidRPr="00AC14CC" w:rsidRDefault="00AC14CC" w:rsidP="00AC14CC">
      <w:pPr>
        <w:pStyle w:val="Answer-or-feedback"/>
        <w:spacing w:after="120"/>
        <w:ind w:left="907"/>
        <w:rPr>
          <w:szCs w:val="20"/>
        </w:rPr>
      </w:pPr>
      <w:r w:rsidRPr="00AC14CC">
        <w:rPr>
          <w:szCs w:val="20"/>
        </w:rPr>
        <w:t>The expected total return, or expected rate of return, is the expected capital gains yield plus the expected dividend yield on a stock. The expected total return on a bond is the yield to maturity.</w:t>
      </w:r>
    </w:p>
    <w:p w14:paraId="082FB6EF" w14:textId="293F102D" w:rsidR="00AC14CC" w:rsidRPr="00AC14CC" w:rsidRDefault="00AC14CC" w:rsidP="00AC14CC">
      <w:pPr>
        <w:pStyle w:val="Answer-or-feedback"/>
        <w:spacing w:after="120"/>
        <w:ind w:left="547" w:firstLine="0"/>
        <w:rPr>
          <w:szCs w:val="20"/>
        </w:rPr>
      </w:pPr>
      <w:r w:rsidRPr="00AC14CC">
        <w:rPr>
          <w:szCs w:val="20"/>
        </w:rPr>
        <w:t xml:space="preserve">Preferred stock is a hybrid—it is </w:t>
      </w:r>
      <w:proofErr w:type="gramStart"/>
      <w:r w:rsidRPr="00AC14CC">
        <w:rPr>
          <w:szCs w:val="20"/>
        </w:rPr>
        <w:t>similar to</w:t>
      </w:r>
      <w:proofErr w:type="gramEnd"/>
      <w:r w:rsidRPr="00AC14CC">
        <w:rPr>
          <w:szCs w:val="20"/>
        </w:rPr>
        <w:t xml:space="preserve"> bonds in some respects and common stock in others. Preferred dividends are </w:t>
      </w:r>
      <w:proofErr w:type="gramStart"/>
      <w:r w:rsidRPr="00AC14CC">
        <w:rPr>
          <w:szCs w:val="20"/>
        </w:rPr>
        <w:t>similar to</w:t>
      </w:r>
      <w:proofErr w:type="gramEnd"/>
      <w:r w:rsidRPr="00AC14CC">
        <w:rPr>
          <w:szCs w:val="20"/>
        </w:rPr>
        <w:t xml:space="preserve"> interest payments on bonds in that they are fixed in amount and generally must be paid before common stock dividends can be paid. </w:t>
      </w:r>
      <w:r w:rsidR="009C1E68">
        <w:rPr>
          <w:szCs w:val="20"/>
        </w:rPr>
        <w:t>The directors can omit</w:t>
      </w:r>
      <w:r w:rsidRPr="00AC14CC">
        <w:rPr>
          <w:szCs w:val="20"/>
        </w:rPr>
        <w:t xml:space="preserve"> the preferred dividend without </w:t>
      </w:r>
      <w:r>
        <w:rPr>
          <w:szCs w:val="20"/>
        </w:rPr>
        <w:t>bankrup</w:t>
      </w:r>
      <w:r w:rsidRPr="00AC14CC">
        <w:rPr>
          <w:szCs w:val="20"/>
        </w:rPr>
        <w:t>ting the company</w:t>
      </w:r>
      <w:r w:rsidR="009C1E68">
        <w:rPr>
          <w:szCs w:val="20"/>
        </w:rPr>
        <w:t xml:space="preserve"> if the preferred dividend is not earned</w:t>
      </w:r>
      <w:r w:rsidRPr="00AC14CC">
        <w:rPr>
          <w:szCs w:val="20"/>
        </w:rPr>
        <w:t>. So, although preferred stock has a fixed payment like bonds, a failure to make</w:t>
      </w:r>
      <w:r>
        <w:rPr>
          <w:szCs w:val="20"/>
        </w:rPr>
        <w:t xml:space="preserve"> </w:t>
      </w:r>
      <w:r w:rsidRPr="00AC14CC">
        <w:rPr>
          <w:szCs w:val="20"/>
        </w:rPr>
        <w:t>this payment will not lead to bankruptcy. Most preferred stocks entitle their owners to regular fixed dividend payments.</w:t>
      </w:r>
    </w:p>
    <w:p w14:paraId="3E1E459D" w14:textId="2989A2C0" w:rsidR="00AC14CC" w:rsidRDefault="00AC14CC" w:rsidP="00AC14CC">
      <w:pPr>
        <w:pStyle w:val="Answer-or-feedback"/>
        <w:spacing w:after="120"/>
        <w:ind w:left="907" w:firstLine="0"/>
        <w:rPr>
          <w:szCs w:val="20"/>
        </w:rPr>
      </w:pPr>
    </w:p>
    <w:p w14:paraId="0B92F218" w14:textId="2105BE05" w:rsidR="009C1E68" w:rsidRDefault="009C1E68" w:rsidP="00AC14CC">
      <w:pPr>
        <w:pStyle w:val="Answer-or-feedback"/>
        <w:spacing w:after="120"/>
        <w:ind w:left="907" w:firstLine="0"/>
        <w:rPr>
          <w:szCs w:val="20"/>
        </w:rPr>
      </w:pPr>
      <w:r>
        <w:rPr>
          <w:szCs w:val="20"/>
        </w:rPr>
        <w:t>Chapter 8 Options</w:t>
      </w:r>
    </w:p>
    <w:p w14:paraId="69AEBD76" w14:textId="77777777" w:rsidR="009C1E68" w:rsidRPr="009C1E68" w:rsidRDefault="009C1E68" w:rsidP="009C1E68">
      <w:pPr>
        <w:pStyle w:val="Answer-or-feedback"/>
        <w:ind w:left="907" w:firstLine="0"/>
        <w:rPr>
          <w:szCs w:val="20"/>
        </w:rPr>
      </w:pPr>
      <w:r w:rsidRPr="009C1E68">
        <w:rPr>
          <w:szCs w:val="20"/>
        </w:rPr>
        <w:t xml:space="preserve">An option is a contract that gives its holder the right to buy or sell an asset at some predetermined price within a specified </w:t>
      </w:r>
      <w:proofErr w:type="gramStart"/>
      <w:r w:rsidRPr="009C1E68">
        <w:rPr>
          <w:szCs w:val="20"/>
        </w:rPr>
        <w:t>period of</w:t>
      </w:r>
      <w:r w:rsidRPr="009C1E68">
        <w:rPr>
          <w:szCs w:val="20"/>
          <w:vertAlign w:val="subscript"/>
        </w:rPr>
        <w:t xml:space="preserve"> </w:t>
      </w:r>
      <w:r w:rsidRPr="009C1E68">
        <w:rPr>
          <w:szCs w:val="20"/>
        </w:rPr>
        <w:t>time</w:t>
      </w:r>
      <w:proofErr w:type="gramEnd"/>
      <w:r w:rsidRPr="009C1E68">
        <w:rPr>
          <w:szCs w:val="20"/>
        </w:rPr>
        <w:t>.</w:t>
      </w:r>
    </w:p>
    <w:p w14:paraId="6FA7403D" w14:textId="77777777" w:rsidR="009C1E68" w:rsidRPr="009C1E68" w:rsidRDefault="009C1E68" w:rsidP="009C1E68">
      <w:pPr>
        <w:pStyle w:val="Answer-or-feedback"/>
        <w:ind w:left="907"/>
        <w:rPr>
          <w:szCs w:val="20"/>
        </w:rPr>
      </w:pPr>
      <w:r w:rsidRPr="009C1E68">
        <w:rPr>
          <w:szCs w:val="20"/>
        </w:rPr>
        <w:t>A call option allows the holder to buy the asset, while a put option allows the holder to sell the asset.</w:t>
      </w:r>
    </w:p>
    <w:p w14:paraId="7E586555" w14:textId="77777777" w:rsidR="009C1E68" w:rsidRPr="009C1E68" w:rsidRDefault="009C1E68" w:rsidP="009C1E68">
      <w:pPr>
        <w:pStyle w:val="Answer-or-feedback"/>
        <w:ind w:left="907" w:firstLine="0"/>
        <w:rPr>
          <w:szCs w:val="20"/>
        </w:rPr>
      </w:pPr>
      <w:r w:rsidRPr="009C1E68">
        <w:rPr>
          <w:szCs w:val="20"/>
        </w:rPr>
        <w:t>A simple measure of an option’s value is its exercise value. The exercise value is equal to the current price of the stock (underlying the option) less the striking price of the option.</w:t>
      </w:r>
    </w:p>
    <w:p w14:paraId="45E98D16" w14:textId="77777777" w:rsidR="009C1E68" w:rsidRDefault="009C1E68" w:rsidP="009C1E68">
      <w:pPr>
        <w:pStyle w:val="Answer-or-feedback"/>
        <w:ind w:left="907"/>
        <w:rPr>
          <w:szCs w:val="20"/>
        </w:rPr>
      </w:pPr>
      <w:r w:rsidRPr="009C1E68">
        <w:rPr>
          <w:szCs w:val="20"/>
        </w:rPr>
        <w:t xml:space="preserve">The strike price is the price stated in the option contract at which the security can be bought (or sold). For </w:t>
      </w:r>
    </w:p>
    <w:p w14:paraId="5988287B" w14:textId="77777777" w:rsidR="009C1E68" w:rsidRDefault="009C1E68" w:rsidP="009C1E68">
      <w:pPr>
        <w:pStyle w:val="Answer-or-feedback"/>
        <w:ind w:left="907"/>
        <w:rPr>
          <w:szCs w:val="20"/>
        </w:rPr>
      </w:pPr>
      <w:r w:rsidRPr="009C1E68">
        <w:rPr>
          <w:szCs w:val="20"/>
        </w:rPr>
        <w:t xml:space="preserve">example, if the underlying stock sells for $50 and the striking price is $20, the exercise value of the option </w:t>
      </w:r>
    </w:p>
    <w:p w14:paraId="203473C7" w14:textId="2BD65BB0" w:rsidR="009C1E68" w:rsidRPr="009C1E68" w:rsidRDefault="009C1E68" w:rsidP="009C1E68">
      <w:pPr>
        <w:pStyle w:val="Answer-or-feedback"/>
        <w:ind w:left="907"/>
        <w:rPr>
          <w:szCs w:val="20"/>
        </w:rPr>
      </w:pPr>
      <w:r w:rsidRPr="009C1E68">
        <w:rPr>
          <w:szCs w:val="20"/>
        </w:rPr>
        <w:t>would be $30.</w:t>
      </w:r>
    </w:p>
    <w:p w14:paraId="23AF6D06" w14:textId="08483E73" w:rsidR="009C1E68" w:rsidRDefault="009C1E68" w:rsidP="009C1E68">
      <w:pPr>
        <w:pStyle w:val="Answer-or-feedback"/>
        <w:spacing w:after="120"/>
        <w:rPr>
          <w:szCs w:val="20"/>
        </w:rPr>
      </w:pPr>
      <w:r>
        <w:rPr>
          <w:szCs w:val="20"/>
        </w:rPr>
        <w:t>Option traders widely use t</w:t>
      </w:r>
      <w:r w:rsidRPr="009C1E68">
        <w:rPr>
          <w:szCs w:val="20"/>
        </w:rPr>
        <w:t xml:space="preserve">he Black-Scholes option pricing model to value options. It is derived </w:t>
      </w:r>
    </w:p>
    <w:p w14:paraId="532C98B9" w14:textId="77777777" w:rsidR="009C1E68" w:rsidRDefault="009C1E68" w:rsidP="009C1E68">
      <w:pPr>
        <w:pStyle w:val="Answer-or-feedback"/>
        <w:spacing w:after="120"/>
        <w:rPr>
          <w:szCs w:val="20"/>
        </w:rPr>
      </w:pPr>
      <w:r w:rsidRPr="009C1E68">
        <w:rPr>
          <w:szCs w:val="20"/>
        </w:rPr>
        <w:t xml:space="preserve">from the concept of a riskless hedge. By buying shares of a stock and simultaneously selling call options </w:t>
      </w:r>
    </w:p>
    <w:p w14:paraId="219FB41C" w14:textId="77777777" w:rsidR="009C1E68" w:rsidRDefault="009C1E68" w:rsidP="009C1E68">
      <w:pPr>
        <w:pStyle w:val="Answer-or-feedback"/>
        <w:spacing w:after="120"/>
        <w:rPr>
          <w:szCs w:val="20"/>
        </w:rPr>
      </w:pPr>
      <w:r w:rsidRPr="009C1E68">
        <w:rPr>
          <w:szCs w:val="20"/>
        </w:rPr>
        <w:t xml:space="preserve">on that stock, the investor will create a risk-free investment position. This riskless return must equal the </w:t>
      </w:r>
    </w:p>
    <w:p w14:paraId="0FE210B3" w14:textId="77777777" w:rsidR="009C1E68" w:rsidRDefault="009C1E68" w:rsidP="009C1E68">
      <w:pPr>
        <w:pStyle w:val="Answer-or-feedback"/>
        <w:spacing w:after="120"/>
        <w:rPr>
          <w:szCs w:val="20"/>
        </w:rPr>
      </w:pPr>
      <w:r w:rsidRPr="009C1E68">
        <w:rPr>
          <w:szCs w:val="20"/>
        </w:rPr>
        <w:t xml:space="preserve">risk-free rate or an arbitrage opportunity would exist. People would take advantage of this opportunity </w:t>
      </w:r>
    </w:p>
    <w:p w14:paraId="174A638D" w14:textId="06CD5FD5" w:rsidR="009C1E68" w:rsidRPr="009C1E68" w:rsidRDefault="009C1E68" w:rsidP="009C1E68">
      <w:pPr>
        <w:pStyle w:val="Answer-or-feedback"/>
        <w:spacing w:after="120"/>
        <w:rPr>
          <w:szCs w:val="20"/>
        </w:rPr>
      </w:pPr>
      <w:r w:rsidRPr="009C1E68">
        <w:rPr>
          <w:szCs w:val="20"/>
        </w:rPr>
        <w:t>until the equilibrium level estimated by the Black-Scholes model was reached.</w:t>
      </w:r>
    </w:p>
    <w:p w14:paraId="47B6B90E" w14:textId="77777777" w:rsidR="009C1E68" w:rsidRPr="009C1E68" w:rsidRDefault="009C1E68" w:rsidP="009C1E68">
      <w:pPr>
        <w:pStyle w:val="Answer-or-feedback"/>
        <w:spacing w:after="120"/>
        <w:ind w:firstLine="0"/>
        <w:rPr>
          <w:szCs w:val="20"/>
        </w:rPr>
      </w:pPr>
      <w:r w:rsidRPr="009C1E68">
        <w:rPr>
          <w:szCs w:val="20"/>
        </w:rPr>
        <w:t>Why do options sell at prices higher than their exercise values?</w:t>
      </w:r>
    </w:p>
    <w:p w14:paraId="47E61EC9" w14:textId="77777777" w:rsidR="009C1E68" w:rsidRPr="009C1E68" w:rsidRDefault="009C1E68" w:rsidP="009C1E68">
      <w:pPr>
        <w:pStyle w:val="Answer-or-feedback"/>
        <w:spacing w:after="120"/>
        <w:rPr>
          <w:b/>
          <w:szCs w:val="20"/>
        </w:rPr>
      </w:pPr>
      <w:r w:rsidRPr="009C1E68">
        <w:rPr>
          <w:b/>
          <w:bCs/>
          <w:szCs w:val="20"/>
        </w:rPr>
        <w:t>Answer</w:t>
      </w:r>
      <w:r w:rsidRPr="009C1E68">
        <w:rPr>
          <w:b/>
          <w:szCs w:val="20"/>
        </w:rPr>
        <w:t>:</w:t>
      </w:r>
    </w:p>
    <w:p w14:paraId="51726BC0" w14:textId="77777777" w:rsidR="009C1E68" w:rsidRDefault="009C1E68" w:rsidP="009C1E68">
      <w:pPr>
        <w:pStyle w:val="Answer-or-feedback"/>
        <w:rPr>
          <w:szCs w:val="20"/>
        </w:rPr>
      </w:pPr>
      <w:r>
        <w:rPr>
          <w:szCs w:val="20"/>
        </w:rPr>
        <w:t>Due to t</w:t>
      </w:r>
      <w:r w:rsidRPr="009C1E68">
        <w:rPr>
          <w:szCs w:val="20"/>
        </w:rPr>
        <w:t xml:space="preserve">he </w:t>
      </w:r>
      <w:r>
        <w:rPr>
          <w:szCs w:val="20"/>
        </w:rPr>
        <w:t>specul</w:t>
      </w:r>
      <w:r w:rsidRPr="009C1E68">
        <w:rPr>
          <w:szCs w:val="20"/>
        </w:rPr>
        <w:t>at</w:t>
      </w:r>
      <w:r>
        <w:rPr>
          <w:szCs w:val="20"/>
        </w:rPr>
        <w:t>i</w:t>
      </w:r>
      <w:r w:rsidRPr="009C1E68">
        <w:rPr>
          <w:szCs w:val="20"/>
        </w:rPr>
        <w:t>v</w:t>
      </w:r>
      <w:r>
        <w:rPr>
          <w:szCs w:val="20"/>
        </w:rPr>
        <w:t>e n</w:t>
      </w:r>
      <w:r w:rsidRPr="009C1E68">
        <w:rPr>
          <w:szCs w:val="20"/>
        </w:rPr>
        <w:t>a</w:t>
      </w:r>
      <w:r>
        <w:rPr>
          <w:szCs w:val="20"/>
        </w:rPr>
        <w:t>t</w:t>
      </w:r>
      <w:r w:rsidRPr="009C1E68">
        <w:rPr>
          <w:szCs w:val="20"/>
        </w:rPr>
        <w:t>u</w:t>
      </w:r>
      <w:r>
        <w:rPr>
          <w:szCs w:val="20"/>
        </w:rPr>
        <w:t>r</w:t>
      </w:r>
      <w:r w:rsidRPr="009C1E68">
        <w:rPr>
          <w:szCs w:val="20"/>
        </w:rPr>
        <w:t xml:space="preserve">e of </w:t>
      </w:r>
      <w:r>
        <w:rPr>
          <w:szCs w:val="20"/>
        </w:rPr>
        <w:t xml:space="preserve">the investment, </w:t>
      </w:r>
      <w:r w:rsidRPr="009C1E68">
        <w:rPr>
          <w:szCs w:val="20"/>
        </w:rPr>
        <w:t>an option</w:t>
      </w:r>
      <w:r>
        <w:rPr>
          <w:szCs w:val="20"/>
        </w:rPr>
        <w:t>'s market value</w:t>
      </w:r>
      <w:r w:rsidRPr="009C1E68">
        <w:rPr>
          <w:szCs w:val="20"/>
        </w:rPr>
        <w:t xml:space="preserve"> is typically higher than its </w:t>
      </w:r>
    </w:p>
    <w:p w14:paraId="6701E06A" w14:textId="5754179A" w:rsidR="009C1E68" w:rsidRDefault="009C1E68" w:rsidP="009C1E68">
      <w:pPr>
        <w:pStyle w:val="Answer-or-feedback"/>
        <w:rPr>
          <w:szCs w:val="20"/>
        </w:rPr>
      </w:pPr>
      <w:r w:rsidRPr="009C1E68">
        <w:rPr>
          <w:szCs w:val="20"/>
        </w:rPr>
        <w:t xml:space="preserve">exercise value. Options allow investors to gain </w:t>
      </w:r>
      <w:r>
        <w:rPr>
          <w:szCs w:val="20"/>
        </w:rPr>
        <w:t>high </w:t>
      </w:r>
      <w:r w:rsidRPr="009C1E68">
        <w:rPr>
          <w:szCs w:val="20"/>
        </w:rPr>
        <w:t xml:space="preserve">personal leverage when buying </w:t>
      </w:r>
    </w:p>
    <w:p w14:paraId="1E67902F" w14:textId="3630D6AB" w:rsidR="009C1E68" w:rsidRDefault="009C1E68" w:rsidP="009C1E68">
      <w:pPr>
        <w:pStyle w:val="Answer-or-feedback"/>
        <w:rPr>
          <w:szCs w:val="20"/>
        </w:rPr>
      </w:pPr>
      <w:r w:rsidRPr="009C1E68">
        <w:rPr>
          <w:szCs w:val="20"/>
        </w:rPr>
        <w:t>securities. The</w:t>
      </w:r>
      <w:r>
        <w:rPr>
          <w:szCs w:val="20"/>
        </w:rPr>
        <w:t>y</w:t>
      </w:r>
      <w:r w:rsidRPr="009C1E68">
        <w:rPr>
          <w:szCs w:val="20"/>
        </w:rPr>
        <w:t xml:space="preserve"> allow the investor to limit their loss but amplify their return. The exact amount of this </w:t>
      </w:r>
    </w:p>
    <w:p w14:paraId="25781982" w14:textId="77777777" w:rsidR="009C1E68" w:rsidRDefault="009C1E68" w:rsidP="009C1E68">
      <w:pPr>
        <w:pStyle w:val="Answer-or-feedback"/>
        <w:rPr>
          <w:szCs w:val="20"/>
        </w:rPr>
      </w:pPr>
      <w:r w:rsidRPr="009C1E68">
        <w:rPr>
          <w:szCs w:val="20"/>
        </w:rPr>
        <w:t>protection is worth is the option</w:t>
      </w:r>
      <w:r>
        <w:rPr>
          <w:szCs w:val="20"/>
        </w:rPr>
        <w:t>'</w:t>
      </w:r>
      <w:r w:rsidRPr="009C1E68">
        <w:rPr>
          <w:szCs w:val="20"/>
        </w:rPr>
        <w:t xml:space="preserve">s time value, which is the difference between the option’s price and its </w:t>
      </w:r>
    </w:p>
    <w:p w14:paraId="6237D08C" w14:textId="06131778" w:rsidR="009C1E68" w:rsidRPr="009C1E68" w:rsidRDefault="009C1E68" w:rsidP="009C1E68">
      <w:pPr>
        <w:pStyle w:val="Answer-or-feedback"/>
        <w:rPr>
          <w:szCs w:val="20"/>
        </w:rPr>
      </w:pPr>
      <w:r w:rsidRPr="009C1E68">
        <w:rPr>
          <w:szCs w:val="20"/>
        </w:rPr>
        <w:t>exercise value.</w:t>
      </w:r>
    </w:p>
    <w:p w14:paraId="5B817C28" w14:textId="77777777" w:rsidR="009C1E68" w:rsidRPr="001A0ED8" w:rsidRDefault="009C1E68" w:rsidP="00AC14CC">
      <w:pPr>
        <w:pStyle w:val="Answer-or-feedback"/>
        <w:spacing w:after="120"/>
        <w:ind w:left="907" w:firstLine="0"/>
        <w:rPr>
          <w:szCs w:val="20"/>
        </w:rPr>
      </w:pPr>
    </w:p>
    <w:sectPr w:rsidR="009C1E68" w:rsidRPr="001A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0EC8"/>
    <w:multiLevelType w:val="hybridMultilevel"/>
    <w:tmpl w:val="284AEEBA"/>
    <w:lvl w:ilvl="0" w:tplc="5E6AA316">
      <w:start w:val="1"/>
      <w:numFmt w:val="lowerLetter"/>
      <w:lvlText w:val="%1."/>
      <w:lvlJc w:val="left"/>
      <w:pPr>
        <w:ind w:left="1267" w:hanging="360"/>
      </w:pPr>
    </w:lvl>
    <w:lvl w:ilvl="1" w:tplc="40090019">
      <w:start w:val="1"/>
      <w:numFmt w:val="lowerLetter"/>
      <w:lvlText w:val="%2."/>
      <w:lvlJc w:val="left"/>
      <w:pPr>
        <w:ind w:left="1987" w:hanging="360"/>
      </w:pPr>
    </w:lvl>
    <w:lvl w:ilvl="2" w:tplc="4009001B">
      <w:start w:val="1"/>
      <w:numFmt w:val="lowerRoman"/>
      <w:lvlText w:val="%3."/>
      <w:lvlJc w:val="right"/>
      <w:pPr>
        <w:ind w:left="2707" w:hanging="180"/>
      </w:pPr>
    </w:lvl>
    <w:lvl w:ilvl="3" w:tplc="4009000F">
      <w:start w:val="1"/>
      <w:numFmt w:val="decimal"/>
      <w:lvlText w:val="%4."/>
      <w:lvlJc w:val="left"/>
      <w:pPr>
        <w:ind w:left="3427" w:hanging="360"/>
      </w:pPr>
    </w:lvl>
    <w:lvl w:ilvl="4" w:tplc="40090019">
      <w:start w:val="1"/>
      <w:numFmt w:val="lowerLetter"/>
      <w:lvlText w:val="%5."/>
      <w:lvlJc w:val="left"/>
      <w:pPr>
        <w:ind w:left="4147" w:hanging="360"/>
      </w:pPr>
    </w:lvl>
    <w:lvl w:ilvl="5" w:tplc="4009001B">
      <w:start w:val="1"/>
      <w:numFmt w:val="lowerRoman"/>
      <w:lvlText w:val="%6."/>
      <w:lvlJc w:val="right"/>
      <w:pPr>
        <w:ind w:left="4867" w:hanging="180"/>
      </w:pPr>
    </w:lvl>
    <w:lvl w:ilvl="6" w:tplc="4009000F">
      <w:start w:val="1"/>
      <w:numFmt w:val="decimal"/>
      <w:lvlText w:val="%7."/>
      <w:lvlJc w:val="left"/>
      <w:pPr>
        <w:ind w:left="5587" w:hanging="360"/>
      </w:pPr>
    </w:lvl>
    <w:lvl w:ilvl="7" w:tplc="40090019">
      <w:start w:val="1"/>
      <w:numFmt w:val="lowerLetter"/>
      <w:lvlText w:val="%8."/>
      <w:lvlJc w:val="left"/>
      <w:pPr>
        <w:ind w:left="6307" w:hanging="360"/>
      </w:pPr>
    </w:lvl>
    <w:lvl w:ilvl="8" w:tplc="4009001B">
      <w:start w:val="1"/>
      <w:numFmt w:val="lowerRoman"/>
      <w:lvlText w:val="%9."/>
      <w:lvlJc w:val="right"/>
      <w:pPr>
        <w:ind w:left="7027" w:hanging="180"/>
      </w:pPr>
    </w:lvl>
  </w:abstractNum>
  <w:abstractNum w:abstractNumId="1" w15:restartNumberingAfterBreak="0">
    <w:nsid w:val="23565543"/>
    <w:multiLevelType w:val="hybridMultilevel"/>
    <w:tmpl w:val="1552445C"/>
    <w:lvl w:ilvl="0" w:tplc="1B3AF94A">
      <w:start w:val="1"/>
      <w:numFmt w:val="lowerLetter"/>
      <w:lvlText w:val="%1."/>
      <w:lvlJc w:val="left"/>
      <w:pPr>
        <w:ind w:left="1267" w:hanging="360"/>
      </w:pPr>
    </w:lvl>
    <w:lvl w:ilvl="1" w:tplc="40090019">
      <w:start w:val="1"/>
      <w:numFmt w:val="lowerLetter"/>
      <w:lvlText w:val="%2."/>
      <w:lvlJc w:val="left"/>
      <w:pPr>
        <w:ind w:left="1987" w:hanging="360"/>
      </w:pPr>
    </w:lvl>
    <w:lvl w:ilvl="2" w:tplc="4009001B">
      <w:start w:val="1"/>
      <w:numFmt w:val="lowerRoman"/>
      <w:lvlText w:val="%3."/>
      <w:lvlJc w:val="right"/>
      <w:pPr>
        <w:ind w:left="2707" w:hanging="180"/>
      </w:pPr>
    </w:lvl>
    <w:lvl w:ilvl="3" w:tplc="4009000F">
      <w:start w:val="1"/>
      <w:numFmt w:val="decimal"/>
      <w:lvlText w:val="%4."/>
      <w:lvlJc w:val="left"/>
      <w:pPr>
        <w:ind w:left="3427" w:hanging="360"/>
      </w:pPr>
    </w:lvl>
    <w:lvl w:ilvl="4" w:tplc="40090019">
      <w:start w:val="1"/>
      <w:numFmt w:val="lowerLetter"/>
      <w:lvlText w:val="%5."/>
      <w:lvlJc w:val="left"/>
      <w:pPr>
        <w:ind w:left="4147" w:hanging="360"/>
      </w:pPr>
    </w:lvl>
    <w:lvl w:ilvl="5" w:tplc="4009001B">
      <w:start w:val="1"/>
      <w:numFmt w:val="lowerRoman"/>
      <w:lvlText w:val="%6."/>
      <w:lvlJc w:val="right"/>
      <w:pPr>
        <w:ind w:left="4867" w:hanging="180"/>
      </w:pPr>
    </w:lvl>
    <w:lvl w:ilvl="6" w:tplc="4009000F">
      <w:start w:val="1"/>
      <w:numFmt w:val="decimal"/>
      <w:lvlText w:val="%7."/>
      <w:lvlJc w:val="left"/>
      <w:pPr>
        <w:ind w:left="5587" w:hanging="360"/>
      </w:pPr>
    </w:lvl>
    <w:lvl w:ilvl="7" w:tplc="40090019">
      <w:start w:val="1"/>
      <w:numFmt w:val="lowerLetter"/>
      <w:lvlText w:val="%8."/>
      <w:lvlJc w:val="left"/>
      <w:pPr>
        <w:ind w:left="6307" w:hanging="360"/>
      </w:pPr>
    </w:lvl>
    <w:lvl w:ilvl="8" w:tplc="4009001B">
      <w:start w:val="1"/>
      <w:numFmt w:val="lowerRoman"/>
      <w:lvlText w:val="%9."/>
      <w:lvlJc w:val="right"/>
      <w:pPr>
        <w:ind w:left="7027" w:hanging="180"/>
      </w:pPr>
    </w:lvl>
  </w:abstractNum>
  <w:num w:numId="1" w16cid:durableId="815609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55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D8"/>
    <w:rsid w:val="001A0ED8"/>
    <w:rsid w:val="00427D45"/>
    <w:rsid w:val="004A0787"/>
    <w:rsid w:val="005D69EA"/>
    <w:rsid w:val="00752926"/>
    <w:rsid w:val="009C1E68"/>
    <w:rsid w:val="00AC14CC"/>
    <w:rsid w:val="00B600C0"/>
    <w:rsid w:val="00F7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2928EAF6"/>
  <w15:chartTrackingRefBased/>
  <w15:docId w15:val="{88FC2013-950A-4D31-9C9C-DDB2BE9A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E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E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E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E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E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E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E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ED8"/>
    <w:rPr>
      <w:rFonts w:eastAsiaTheme="majorEastAsia" w:cstheme="majorBidi"/>
      <w:color w:val="272727" w:themeColor="text1" w:themeTint="D8"/>
    </w:rPr>
  </w:style>
  <w:style w:type="paragraph" w:styleId="Title">
    <w:name w:val="Title"/>
    <w:basedOn w:val="Normal"/>
    <w:next w:val="Normal"/>
    <w:link w:val="TitleChar"/>
    <w:uiPriority w:val="10"/>
    <w:qFormat/>
    <w:rsid w:val="001A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ED8"/>
    <w:pPr>
      <w:spacing w:before="160"/>
      <w:jc w:val="center"/>
    </w:pPr>
    <w:rPr>
      <w:i/>
      <w:iCs/>
      <w:color w:val="404040" w:themeColor="text1" w:themeTint="BF"/>
    </w:rPr>
  </w:style>
  <w:style w:type="character" w:customStyle="1" w:styleId="QuoteChar">
    <w:name w:val="Quote Char"/>
    <w:basedOn w:val="DefaultParagraphFont"/>
    <w:link w:val="Quote"/>
    <w:uiPriority w:val="29"/>
    <w:rsid w:val="001A0ED8"/>
    <w:rPr>
      <w:i/>
      <w:iCs/>
      <w:color w:val="404040" w:themeColor="text1" w:themeTint="BF"/>
    </w:rPr>
  </w:style>
  <w:style w:type="paragraph" w:styleId="ListParagraph">
    <w:name w:val="List Paragraph"/>
    <w:basedOn w:val="Normal"/>
    <w:uiPriority w:val="34"/>
    <w:qFormat/>
    <w:rsid w:val="001A0ED8"/>
    <w:pPr>
      <w:ind w:left="720"/>
      <w:contextualSpacing/>
    </w:pPr>
  </w:style>
  <w:style w:type="character" w:styleId="IntenseEmphasis">
    <w:name w:val="Intense Emphasis"/>
    <w:basedOn w:val="DefaultParagraphFont"/>
    <w:uiPriority w:val="21"/>
    <w:qFormat/>
    <w:rsid w:val="001A0ED8"/>
    <w:rPr>
      <w:i/>
      <w:iCs/>
      <w:color w:val="2F5496" w:themeColor="accent1" w:themeShade="BF"/>
    </w:rPr>
  </w:style>
  <w:style w:type="paragraph" w:styleId="IntenseQuote">
    <w:name w:val="Intense Quote"/>
    <w:basedOn w:val="Normal"/>
    <w:next w:val="Normal"/>
    <w:link w:val="IntenseQuoteChar"/>
    <w:uiPriority w:val="30"/>
    <w:qFormat/>
    <w:rsid w:val="001A0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ED8"/>
    <w:rPr>
      <w:i/>
      <w:iCs/>
      <w:color w:val="2F5496" w:themeColor="accent1" w:themeShade="BF"/>
    </w:rPr>
  </w:style>
  <w:style w:type="character" w:styleId="IntenseReference">
    <w:name w:val="Intense Reference"/>
    <w:basedOn w:val="DefaultParagraphFont"/>
    <w:uiPriority w:val="32"/>
    <w:qFormat/>
    <w:rsid w:val="001A0ED8"/>
    <w:rPr>
      <w:b/>
      <w:bCs/>
      <w:smallCaps/>
      <w:color w:val="2F5496" w:themeColor="accent1" w:themeShade="BF"/>
      <w:spacing w:val="5"/>
    </w:rPr>
  </w:style>
  <w:style w:type="paragraph" w:customStyle="1" w:styleId="Answer-or-feedback">
    <w:name w:val="Answer-or-feedback"/>
    <w:basedOn w:val="Normal"/>
    <w:link w:val="Answer-or-feedbackChar"/>
    <w:rsid w:val="001A0ED8"/>
    <w:pPr>
      <w:ind w:left="1267" w:hanging="360"/>
    </w:pPr>
    <w:rPr>
      <w:rFonts w:eastAsiaTheme="minorEastAsia"/>
      <w:sz w:val="20"/>
    </w:rPr>
  </w:style>
  <w:style w:type="character" w:customStyle="1" w:styleId="Answer-or-feedbackChar">
    <w:name w:val="Answer-or-feedback Char"/>
    <w:basedOn w:val="DefaultParagraphFont"/>
    <w:link w:val="Answer-or-feedback"/>
    <w:rsid w:val="001A0ED8"/>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38316">
      <w:bodyDiv w:val="1"/>
      <w:marLeft w:val="0"/>
      <w:marRight w:val="0"/>
      <w:marTop w:val="0"/>
      <w:marBottom w:val="0"/>
      <w:divBdr>
        <w:top w:val="none" w:sz="0" w:space="0" w:color="auto"/>
        <w:left w:val="none" w:sz="0" w:space="0" w:color="auto"/>
        <w:bottom w:val="none" w:sz="0" w:space="0" w:color="auto"/>
        <w:right w:val="none" w:sz="0" w:space="0" w:color="auto"/>
      </w:divBdr>
    </w:div>
    <w:div w:id="160121818">
      <w:bodyDiv w:val="1"/>
      <w:marLeft w:val="0"/>
      <w:marRight w:val="0"/>
      <w:marTop w:val="0"/>
      <w:marBottom w:val="0"/>
      <w:divBdr>
        <w:top w:val="none" w:sz="0" w:space="0" w:color="auto"/>
        <w:left w:val="none" w:sz="0" w:space="0" w:color="auto"/>
        <w:bottom w:val="none" w:sz="0" w:space="0" w:color="auto"/>
        <w:right w:val="none" w:sz="0" w:space="0" w:color="auto"/>
      </w:divBdr>
    </w:div>
    <w:div w:id="160975281">
      <w:bodyDiv w:val="1"/>
      <w:marLeft w:val="0"/>
      <w:marRight w:val="0"/>
      <w:marTop w:val="0"/>
      <w:marBottom w:val="0"/>
      <w:divBdr>
        <w:top w:val="none" w:sz="0" w:space="0" w:color="auto"/>
        <w:left w:val="none" w:sz="0" w:space="0" w:color="auto"/>
        <w:bottom w:val="none" w:sz="0" w:space="0" w:color="auto"/>
        <w:right w:val="none" w:sz="0" w:space="0" w:color="auto"/>
      </w:divBdr>
    </w:div>
    <w:div w:id="163253176">
      <w:bodyDiv w:val="1"/>
      <w:marLeft w:val="0"/>
      <w:marRight w:val="0"/>
      <w:marTop w:val="0"/>
      <w:marBottom w:val="0"/>
      <w:divBdr>
        <w:top w:val="none" w:sz="0" w:space="0" w:color="auto"/>
        <w:left w:val="none" w:sz="0" w:space="0" w:color="auto"/>
        <w:bottom w:val="none" w:sz="0" w:space="0" w:color="auto"/>
        <w:right w:val="none" w:sz="0" w:space="0" w:color="auto"/>
      </w:divBdr>
    </w:div>
    <w:div w:id="176769510">
      <w:bodyDiv w:val="1"/>
      <w:marLeft w:val="0"/>
      <w:marRight w:val="0"/>
      <w:marTop w:val="0"/>
      <w:marBottom w:val="0"/>
      <w:divBdr>
        <w:top w:val="none" w:sz="0" w:space="0" w:color="auto"/>
        <w:left w:val="none" w:sz="0" w:space="0" w:color="auto"/>
        <w:bottom w:val="none" w:sz="0" w:space="0" w:color="auto"/>
        <w:right w:val="none" w:sz="0" w:space="0" w:color="auto"/>
      </w:divBdr>
    </w:div>
    <w:div w:id="289015616">
      <w:bodyDiv w:val="1"/>
      <w:marLeft w:val="0"/>
      <w:marRight w:val="0"/>
      <w:marTop w:val="0"/>
      <w:marBottom w:val="0"/>
      <w:divBdr>
        <w:top w:val="none" w:sz="0" w:space="0" w:color="auto"/>
        <w:left w:val="none" w:sz="0" w:space="0" w:color="auto"/>
        <w:bottom w:val="none" w:sz="0" w:space="0" w:color="auto"/>
        <w:right w:val="none" w:sz="0" w:space="0" w:color="auto"/>
      </w:divBdr>
    </w:div>
    <w:div w:id="420806892">
      <w:bodyDiv w:val="1"/>
      <w:marLeft w:val="0"/>
      <w:marRight w:val="0"/>
      <w:marTop w:val="0"/>
      <w:marBottom w:val="0"/>
      <w:divBdr>
        <w:top w:val="none" w:sz="0" w:space="0" w:color="auto"/>
        <w:left w:val="none" w:sz="0" w:space="0" w:color="auto"/>
        <w:bottom w:val="none" w:sz="0" w:space="0" w:color="auto"/>
        <w:right w:val="none" w:sz="0" w:space="0" w:color="auto"/>
      </w:divBdr>
    </w:div>
    <w:div w:id="493256222">
      <w:bodyDiv w:val="1"/>
      <w:marLeft w:val="0"/>
      <w:marRight w:val="0"/>
      <w:marTop w:val="0"/>
      <w:marBottom w:val="0"/>
      <w:divBdr>
        <w:top w:val="none" w:sz="0" w:space="0" w:color="auto"/>
        <w:left w:val="none" w:sz="0" w:space="0" w:color="auto"/>
        <w:bottom w:val="none" w:sz="0" w:space="0" w:color="auto"/>
        <w:right w:val="none" w:sz="0" w:space="0" w:color="auto"/>
      </w:divBdr>
    </w:div>
    <w:div w:id="1027947243">
      <w:bodyDiv w:val="1"/>
      <w:marLeft w:val="0"/>
      <w:marRight w:val="0"/>
      <w:marTop w:val="0"/>
      <w:marBottom w:val="0"/>
      <w:divBdr>
        <w:top w:val="none" w:sz="0" w:space="0" w:color="auto"/>
        <w:left w:val="none" w:sz="0" w:space="0" w:color="auto"/>
        <w:bottom w:val="none" w:sz="0" w:space="0" w:color="auto"/>
        <w:right w:val="none" w:sz="0" w:space="0" w:color="auto"/>
      </w:divBdr>
    </w:div>
    <w:div w:id="1310398180">
      <w:bodyDiv w:val="1"/>
      <w:marLeft w:val="0"/>
      <w:marRight w:val="0"/>
      <w:marTop w:val="0"/>
      <w:marBottom w:val="0"/>
      <w:divBdr>
        <w:top w:val="none" w:sz="0" w:space="0" w:color="auto"/>
        <w:left w:val="none" w:sz="0" w:space="0" w:color="auto"/>
        <w:bottom w:val="none" w:sz="0" w:space="0" w:color="auto"/>
        <w:right w:val="none" w:sz="0" w:space="0" w:color="auto"/>
      </w:divBdr>
    </w:div>
    <w:div w:id="1358461407">
      <w:bodyDiv w:val="1"/>
      <w:marLeft w:val="0"/>
      <w:marRight w:val="0"/>
      <w:marTop w:val="0"/>
      <w:marBottom w:val="0"/>
      <w:divBdr>
        <w:top w:val="none" w:sz="0" w:space="0" w:color="auto"/>
        <w:left w:val="none" w:sz="0" w:space="0" w:color="auto"/>
        <w:bottom w:val="none" w:sz="0" w:space="0" w:color="auto"/>
        <w:right w:val="none" w:sz="0" w:space="0" w:color="auto"/>
      </w:divBdr>
    </w:div>
    <w:div w:id="1426998568">
      <w:bodyDiv w:val="1"/>
      <w:marLeft w:val="0"/>
      <w:marRight w:val="0"/>
      <w:marTop w:val="0"/>
      <w:marBottom w:val="0"/>
      <w:divBdr>
        <w:top w:val="none" w:sz="0" w:space="0" w:color="auto"/>
        <w:left w:val="none" w:sz="0" w:space="0" w:color="auto"/>
        <w:bottom w:val="none" w:sz="0" w:space="0" w:color="auto"/>
        <w:right w:val="none" w:sz="0" w:space="0" w:color="auto"/>
      </w:divBdr>
    </w:div>
    <w:div w:id="1509976963">
      <w:bodyDiv w:val="1"/>
      <w:marLeft w:val="0"/>
      <w:marRight w:val="0"/>
      <w:marTop w:val="0"/>
      <w:marBottom w:val="0"/>
      <w:divBdr>
        <w:top w:val="none" w:sz="0" w:space="0" w:color="auto"/>
        <w:left w:val="none" w:sz="0" w:space="0" w:color="auto"/>
        <w:bottom w:val="none" w:sz="0" w:space="0" w:color="auto"/>
        <w:right w:val="none" w:sz="0" w:space="0" w:color="auto"/>
      </w:divBdr>
    </w:div>
    <w:div w:id="1570339194">
      <w:bodyDiv w:val="1"/>
      <w:marLeft w:val="0"/>
      <w:marRight w:val="0"/>
      <w:marTop w:val="0"/>
      <w:marBottom w:val="0"/>
      <w:divBdr>
        <w:top w:val="none" w:sz="0" w:space="0" w:color="auto"/>
        <w:left w:val="none" w:sz="0" w:space="0" w:color="auto"/>
        <w:bottom w:val="none" w:sz="0" w:space="0" w:color="auto"/>
        <w:right w:val="none" w:sz="0" w:space="0" w:color="auto"/>
      </w:divBdr>
    </w:div>
    <w:div w:id="1630623204">
      <w:bodyDiv w:val="1"/>
      <w:marLeft w:val="0"/>
      <w:marRight w:val="0"/>
      <w:marTop w:val="0"/>
      <w:marBottom w:val="0"/>
      <w:divBdr>
        <w:top w:val="none" w:sz="0" w:space="0" w:color="auto"/>
        <w:left w:val="none" w:sz="0" w:space="0" w:color="auto"/>
        <w:bottom w:val="none" w:sz="0" w:space="0" w:color="auto"/>
        <w:right w:val="none" w:sz="0" w:space="0" w:color="auto"/>
      </w:divBdr>
    </w:div>
    <w:div w:id="1634212762">
      <w:bodyDiv w:val="1"/>
      <w:marLeft w:val="0"/>
      <w:marRight w:val="0"/>
      <w:marTop w:val="0"/>
      <w:marBottom w:val="0"/>
      <w:divBdr>
        <w:top w:val="none" w:sz="0" w:space="0" w:color="auto"/>
        <w:left w:val="none" w:sz="0" w:space="0" w:color="auto"/>
        <w:bottom w:val="none" w:sz="0" w:space="0" w:color="auto"/>
        <w:right w:val="none" w:sz="0" w:space="0" w:color="auto"/>
      </w:divBdr>
    </w:div>
    <w:div w:id="2114276596">
      <w:bodyDiv w:val="1"/>
      <w:marLeft w:val="0"/>
      <w:marRight w:val="0"/>
      <w:marTop w:val="0"/>
      <w:marBottom w:val="0"/>
      <w:divBdr>
        <w:top w:val="none" w:sz="0" w:space="0" w:color="auto"/>
        <w:left w:val="none" w:sz="0" w:space="0" w:color="auto"/>
        <w:bottom w:val="none" w:sz="0" w:space="0" w:color="auto"/>
        <w:right w:val="none" w:sz="0" w:space="0" w:color="auto"/>
      </w:divBdr>
    </w:div>
    <w:div w:id="21467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Owusu-Antwi</dc:creator>
  <cp:keywords/>
  <dc:description/>
  <cp:lastModifiedBy>Teameco Broughton</cp:lastModifiedBy>
  <cp:revision>2</cp:revision>
  <dcterms:created xsi:type="dcterms:W3CDTF">2024-10-17T18:00:00Z</dcterms:created>
  <dcterms:modified xsi:type="dcterms:W3CDTF">2024-10-17T18:00:00Z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e2a40f96-39c3-4de8-98b2-d05d5a3acabc</vt:lpwstr>
  </property>
</Properties>
</file>