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word/stylesWithEffects.xml" ContentType="application/vnd.ms-word.stylesWithEffect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pPr>
        <w:pStyle w:val="GrandCanyonBulletedList"/>
        <w:jc w:val="both"/>
        <w:contextualSpacing/>
        <w:spacing w:line="480" w:lineRule="auto"/>
      </w:pPr>
    </w:p>
    <w:p>
      <w:pPr>
        <w:pStyle w:val="GrandCanyonBulletedList"/>
        <w:jc w:val="both"/>
        <w:contextualSpacing/>
        <w:spacing w:line="480" w:lineRule="auto"/>
      </w:pPr>
    </w:p>
    <w:p>
      <w:pPr>
        <w:pStyle w:val="GrandCanyonBulletedList"/>
        <w:jc w:val="both"/>
        <w:contextualSpacing/>
        <w:spacing w:line="480" w:lineRule="auto"/>
      </w:pPr>
    </w:p>
    <w:p>
      <w:pPr>
        <w:pStyle w:val="GrandCanyonBulletedList"/>
        <w:jc w:val="both"/>
        <w:contextualSpacing/>
        <w:spacing w:line="480" w:lineRule="auto"/>
      </w:pPr>
    </w:p>
    <w:p>
      <w:pPr>
        <w:pStyle w:val="GrandCanyonBulletedList"/>
        <w:jc w:val="both"/>
        <w:contextualSpacing/>
        <w:spacing w:line="480" w:lineRule="auto"/>
      </w:pPr>
    </w:p>
    <w:p>
      <w:pPr>
        <w:pStyle w:val="GrandCanyonBulletedList"/>
        <w:jc w:val="both"/>
        <w:contextualSpacing/>
        <w:spacing w:line="480" w:lineRule="auto"/>
      </w:pPr>
    </w:p>
    <w:p>
      <w:pPr>
        <w:pStyle w:val="GrandCanyonBulletedList"/>
        <w:jc w:val="both"/>
        <w:contextualSpacing/>
        <w:spacing w:line="480" w:lineRule="auto"/>
      </w:pPr>
    </w:p>
    <w:p>
      <w:pPr>
        <w:pStyle w:val="GrandCanyonBulletedList"/>
        <w:jc w:val="both"/>
        <w:contextualSpacing/>
        <w:spacing w:line="480" w:lineRule="auto"/>
      </w:pPr>
    </w:p>
    <w:p>
      <w:pPr>
        <w:pStyle w:val="GrandCanyonBulletedList"/>
        <w:jc w:val="both"/>
        <w:contextualSpacing/>
        <w:spacing w:line="480" w:lineRule="auto"/>
      </w:pPr>
    </w:p>
    <w:p>
      <w:pPr>
        <w:pStyle w:val="GrandCanyonBulletedList"/>
        <w:jc w:val="both"/>
        <w:contextualSpacing/>
        <w:spacing w:line="480" w:lineRule="auto"/>
      </w:pPr>
    </w:p>
    <w:p>
      <w:pPr>
        <w:pStyle w:val="GrandCanyonBulletedList"/>
        <w:jc w:val="both"/>
        <w:contextualSpacing/>
        <w:spacing w:line="480" w:lineRule="auto"/>
      </w:pPr>
    </w:p>
    <w:p>
      <w:pPr>
        <w:pStyle w:val="GrandCanyonBulletedList"/>
        <w:jc w:val="both"/>
        <w:contextualSpacing/>
        <w:spacing w:line="480" w:lineRule="auto"/>
      </w:pPr>
    </w:p>
    <w:p>
      <w:pPr>
        <w:pStyle w:val="GrandCanyonBulletedList"/>
        <w:jc w:val="center"/>
        <w:contextualSpacing/>
        <w:spacing w:line="480" w:lineRule="auto"/>
      </w:pPr>
      <w:r>
        <w:rPr/>
        <w:t>Research Proposal (Internet Gaming Disorders</w:t>
      </w:r>
    </w:p>
    <w:p>
      <w:pPr>
        <w:pStyle w:val="GrandCanyonBulletedList"/>
        <w:jc w:val="center"/>
        <w:contextualSpacing/>
        <w:spacing w:line="480" w:lineRule="auto"/>
      </w:pPr>
    </w:p>
    <w:p>
      <w:pPr>
        <w:pStyle w:val="GrandCanyonBulletedList"/>
        <w:jc w:val="center"/>
        <w:contextualSpacing/>
        <w:spacing w:line="480" w:lineRule="auto"/>
        <w:rPr>
          <w:b/>
        </w:rPr>
      </w:pPr>
    </w:p>
    <w:p>
      <w:pPr>
        <w:pStyle w:val="GrandCanyonBulletedList"/>
        <w:jc w:val="both"/>
        <w:contextualSpacing/>
        <w:spacing w:line="480" w:lineRule="auto"/>
        <w:rPr>
          <w:b/>
        </w:rPr>
      </w:pPr>
    </w:p>
    <w:p>
      <w:pPr>
        <w:pStyle w:val="GrandCanyonBulletedList"/>
        <w:jc w:val="both"/>
        <w:contextualSpacing/>
        <w:spacing w:line="480" w:lineRule="auto"/>
        <w:rPr>
          <w:b/>
        </w:rPr>
      </w:pPr>
    </w:p>
    <w:p>
      <w:pPr>
        <w:pStyle w:val="GrandCanyonBulletedList"/>
        <w:jc w:val="both"/>
        <w:contextualSpacing/>
        <w:spacing w:line="480" w:lineRule="auto"/>
        <w:rPr>
          <w:b/>
        </w:rPr>
      </w:pPr>
    </w:p>
    <w:p>
      <w:pPr>
        <w:pStyle w:val="GrandCanyonBulletedList"/>
        <w:jc w:val="both"/>
        <w:contextualSpacing/>
        <w:spacing w:line="480" w:lineRule="auto"/>
        <w:rPr>
          <w:b/>
        </w:rPr>
      </w:pPr>
    </w:p>
    <w:p>
      <w:pPr>
        <w:pStyle w:val="GrandCanyonBulletedList"/>
        <w:jc w:val="both"/>
        <w:contextualSpacing/>
        <w:spacing w:line="480" w:lineRule="auto"/>
        <w:rPr>
          <w:b/>
        </w:rPr>
      </w:pPr>
    </w:p>
    <w:p>
      <w:pPr>
        <w:pStyle w:val="GrandCanyonBulletedList"/>
        <w:jc w:val="both"/>
        <w:contextualSpacing/>
        <w:spacing w:line="480" w:lineRule="auto"/>
        <w:rPr>
          <w:b/>
        </w:rPr>
      </w:pPr>
    </w:p>
    <w:p>
      <w:pPr>
        <w:pStyle w:val="GrandCanyonBulletedList"/>
        <w:jc w:val="both"/>
        <w:contextualSpacing/>
        <w:spacing w:line="480" w:lineRule="auto"/>
        <w:rPr>
          <w:b/>
        </w:rPr>
      </w:pPr>
    </w:p>
    <w:p>
      <w:pPr>
        <w:pStyle w:val="GrandCanyonBulletedList"/>
        <w:jc w:val="both"/>
        <w:contextualSpacing/>
        <w:spacing w:line="480" w:lineRule="auto"/>
        <w:rPr>
          <w:b/>
        </w:rPr>
      </w:pPr>
      <w:r>
        <w:rPr>
          <w:b/>
        </w:rPr>
        <w:t>Research Question</w:t>
      </w:r>
    </w:p>
    <w:p>
      <w:pPr>
        <w:pStyle w:val="GrandCanyonBulletedList"/>
        <w:jc w:val="both"/>
        <w:contextualSpacing/>
        <w:spacing w:line="480" w:lineRule="auto"/>
      </w:pPr>
      <w:r>
        <w:rPr>
          <w:highlight w:val="yellow"/>
        </w:rPr>
        <w:t>What is the risk/ prevalence(O) of Internet Gaming disorder (I) for young adolescents</w:t>
      </w:r>
      <w:r>
        <w:rPr>
          <w:highlight w:val="yellow"/>
        </w:rPr>
        <w:t>/ students (P</w:t>
      </w:r>
      <w:r>
        <w:rPr>
          <w:highlight w:val="yellow"/>
        </w:rPr>
        <w:t xml:space="preserve">) who compulsively play internet games as </w:t>
      </w:r>
      <w:r>
        <w:rPr>
          <w:highlight w:val="yellow"/>
        </w:rPr>
        <w:t>compared to those who only play three hours a week (C)</w:t>
      </w:r>
      <w:r>
        <w:rPr>
          <w:highlight w:val="yellow"/>
        </w:rPr>
        <w:t xml:space="preserve">within </w:t>
      </w:r>
      <w:r>
        <w:rPr>
          <w:highlight w:val="yellow"/>
        </w:rPr>
        <w:t>three months(T)</w:t>
      </w:r>
    </w:p>
    <w:p>
      <w:pPr>
        <w:pStyle w:val="GrandCanyonBulletedList"/>
        <w:jc w:val="both"/>
        <w:contextualSpacing/>
        <w:spacing w:line="480" w:lineRule="auto"/>
        <w:rPr>
          <w:b/>
        </w:rPr>
      </w:pPr>
      <w:r>
        <w:rPr>
          <w:b/>
        </w:rPr>
        <w:t>Executive Summary</w:t>
      </w:r>
      <w:r>
        <w:rPr>
          <w:b/>
        </w:rPr>
        <w:t xml:space="preserve"> (Internet Gaming Disorder) </w:t>
      </w:r>
    </w:p>
    <w:p>
      <w:pPr>
        <w:pStyle w:val="GrandCanyonBulletedList"/>
        <w:jc w:val="both"/>
        <w:ind w:firstLine="720"/>
        <w:contextualSpacing/>
        <w:spacing w:line="480" w:lineRule="auto"/>
      </w:pPr>
      <w:r>
        <w:rPr/>
        <w:t xml:space="preserve">The internet and computers are now an integral part of our lives. They allow for conducting business, processing data, </w:t>
      </w:r>
      <w:r>
        <w:rPr/>
        <w:t>watching videos, and playing games. Nonetheless, different scientific studies sugge</w:t>
      </w:r>
      <w:r>
        <w:rPr/>
        <w:t>st that there is a growing preoccupation</w:t>
      </w:r>
      <w:r>
        <w:rPr/>
        <w:t xml:space="preserve"> of students and adolescents to computers, especially internet video games. They are compulsive playing that leads to the marginaliza</w:t>
      </w:r>
      <w:r>
        <w:rPr/>
        <w:t xml:space="preserve">tion of other interests and activities. Much of these concepts stem from studies of adolescents in Asian countries. The results paint worrying trends in areas such as physical </w:t>
      </w:r>
      <w:r>
        <w:rPr/>
        <w:t>health</w:t>
      </w:r>
      <w:r>
        <w:rPr/>
        <w:t xml:space="preserve">, social activities participation, and other life's </w:t>
      </w:r>
      <w:r>
        <w:rPr/>
        <w:t>dynamics</w:t>
      </w:r>
      <w:r>
        <w:rPr/>
        <w:t xml:space="preserve">. </w:t>
      </w:r>
    </w:p>
    <w:p>
      <w:pPr>
        <w:pStyle w:val="GrandCanyonBulletedList"/>
        <w:jc w:val="both"/>
        <w:ind w:firstLine="720"/>
        <w:contextualSpacing/>
        <w:spacing w:line="480" w:lineRule="auto"/>
      </w:pPr>
      <w:r>
        <w:rPr/>
        <w:t>Just like d</w:t>
      </w:r>
      <w:r>
        <w:rPr/>
        <w:t>rug addicts, game addicts' brains are intensely triggered in a similar pattern. Further research on the topic will</w:t>
      </w:r>
      <w:r>
        <w:rPr/>
        <w:t xml:space="preserve"> allow for evaluation of the pr</w:t>
      </w:r>
      <w:r>
        <w:rPr/>
        <w:t>evalence</w:t>
      </w:r>
      <w:r>
        <w:rPr/>
        <w:t xml:space="preserve"> of Internet Gaming Disorder, the trigger factors, vulnerability levels, and likely intervention</w:t>
      </w:r>
      <w:r>
        <w:rPr/>
        <w:t xml:space="preserve">s. It </w:t>
      </w:r>
      <w:r>
        <w:rPr/>
        <w:t>is critical to determine i</w:t>
      </w:r>
      <w:r>
        <w:rPr/>
        <w:t xml:space="preserve">f IGD is only restricted to gaming, or it is equally inclusive of other internet </w:t>
      </w:r>
      <w:r>
        <w:rPr/>
        <w:t>platforms (</w:t>
      </w:r>
      <w:r>
        <w:rPr>
          <w:shd w:fill="FFFFFF"/>
        </w:rPr>
        <w:t>Lemmens and Hendriks, 2016)</w:t>
      </w:r>
      <w:r>
        <w:rPr/>
        <w:t>.  The purpose of investigating</w:t>
      </w:r>
      <w:r>
        <w:rPr/>
        <w:t xml:space="preserve"> the prevalence of IFD is triggered by </w:t>
      </w:r>
      <w:r>
        <w:rPr/>
        <w:t>weakening</w:t>
      </w:r>
      <w:r>
        <w:rPr/>
        <w:t xml:space="preserve"> </w:t>
      </w:r>
      <w:r>
        <w:rPr/>
        <w:t>social</w:t>
      </w:r>
      <w:r>
        <w:rPr/>
        <w:t xml:space="preserve"> relationships, volatilit</w:t>
      </w:r>
      <w:r>
        <w:rPr/>
        <w:t xml:space="preserve">y, mood swings, physical inactivity, and low </w:t>
      </w:r>
      <w:r>
        <w:rPr/>
        <w:t>productivity</w:t>
      </w:r>
      <w:r>
        <w:rPr/>
        <w:t xml:space="preserve"> levels among the players. The condition is a threat to both the social </w:t>
      </w:r>
      <w:r>
        <w:rPr/>
        <w:t>fabric</w:t>
      </w:r>
      <w:r>
        <w:rPr/>
        <w:t xml:space="preserve"> and the progression of personal </w:t>
      </w:r>
      <w:r>
        <w:rPr/>
        <w:t>goals</w:t>
      </w:r>
      <w:r>
        <w:rPr/>
        <w:t xml:space="preserve">. </w:t>
      </w:r>
    </w:p>
    <w:p>
      <w:pPr>
        <w:pStyle w:val="Normal"/>
        <w:jc w:val="both"/>
        <w:ind w:firstLine="0"/>
        <w:contextualSpacing/>
        <w:spacing w:line="480" w:lineRule="auto"/>
        <w:rPr>
          <w:b/>
          <w:szCs w:val="24"/>
        </w:rPr>
      </w:pPr>
      <w:r>
        <w:rPr>
          <w:b/>
          <w:szCs w:val="24"/>
        </w:rPr>
        <w:t>Needed Research</w:t>
      </w:r>
    </w:p>
    <w:p>
      <w:pPr>
        <w:pStyle w:val="Normal"/>
        <w:jc w:val="both"/>
        <w:ind w:firstLine="576"/>
        <w:contextualSpacing/>
        <w:spacing w:line="480" w:lineRule="auto"/>
        <w:rPr>
          <w:szCs w:val="24"/>
        </w:rPr>
      </w:pPr>
      <w:r>
        <w:rPr>
          <w:szCs w:val="24"/>
        </w:rPr>
        <w:t xml:space="preserve">The research will use a case study that will focus on different </w:t>
      </w:r>
      <w:r>
        <w:rPr>
          <w:szCs w:val="24"/>
        </w:rPr>
        <w:t xml:space="preserve">groups of adolescents. It will categorize the players into two groups where one group will be exposed to unlimited gaming for three months, while the second group will only play for three hours in a week. Through a case study, it is </w:t>
      </w:r>
      <w:r>
        <w:rPr>
          <w:szCs w:val="24"/>
        </w:rPr>
        <w:t>possible</w:t>
      </w:r>
      <w:r>
        <w:rPr>
          <w:szCs w:val="24"/>
        </w:rPr>
        <w:t xml:space="preserve"> to describe di</w:t>
      </w:r>
      <w:r>
        <w:rPr>
          <w:szCs w:val="24"/>
        </w:rPr>
        <w:t xml:space="preserve">fferent experiences and events and their impacts on individual </w:t>
      </w:r>
      <w:r>
        <w:rPr>
          <w:szCs w:val="24"/>
        </w:rPr>
        <w:t>behaviors (</w:t>
      </w:r>
      <w:r>
        <w:rPr>
          <w:szCs w:val="24"/>
          <w:shd w:fill="FFFFFF"/>
        </w:rPr>
        <w:t>Griffiths et al. 2016)</w:t>
      </w:r>
      <w:r>
        <w:rPr>
          <w:szCs w:val="24"/>
        </w:rPr>
        <w:t xml:space="preserve">. Moreover, a case study allows the researcher to observe the </w:t>
      </w:r>
      <w:r>
        <w:rPr>
          <w:szCs w:val="24"/>
        </w:rPr>
        <w:t>participants</w:t>
      </w:r>
      <w:r>
        <w:rPr>
          <w:szCs w:val="24"/>
        </w:rPr>
        <w:t xml:space="preserve"> over a long period. The foreground question in this </w:t>
      </w:r>
      <w:r>
        <w:rPr>
          <w:szCs w:val="24"/>
        </w:rPr>
        <w:t>research</w:t>
      </w:r>
      <w:r>
        <w:rPr>
          <w:szCs w:val="24"/>
        </w:rPr>
        <w:t xml:space="preserve"> will, does unfettered </w:t>
      </w:r>
      <w:r>
        <w:rPr>
          <w:szCs w:val="24"/>
        </w:rPr>
        <w:t>ac</w:t>
      </w:r>
      <w:r>
        <w:rPr>
          <w:szCs w:val="24"/>
        </w:rPr>
        <w:t>cess</w:t>
      </w:r>
      <w:r>
        <w:rPr>
          <w:szCs w:val="24"/>
        </w:rPr>
        <w:t xml:space="preserve"> to internet games leads to compulsivity and increased risk of Internet Gaming </w:t>
      </w:r>
      <w:r>
        <w:rPr>
          <w:szCs w:val="24"/>
        </w:rPr>
        <w:t>Disorders</w:t>
      </w:r>
      <w:r>
        <w:rPr>
          <w:szCs w:val="24"/>
        </w:rPr>
        <w:t xml:space="preserve">. </w:t>
      </w:r>
    </w:p>
    <w:p>
      <w:pPr>
        <w:pStyle w:val="Normal"/>
        <w:jc w:val="both"/>
        <w:ind w:firstLine="0"/>
        <w:contextualSpacing/>
        <w:spacing w:line="480" w:lineRule="auto"/>
        <w:rPr>
          <w:szCs w:val="24"/>
        </w:rPr>
      </w:pPr>
      <w:r>
        <w:rPr>
          <w:szCs w:val="24"/>
        </w:rPr>
        <w:tab/>
        <w:t xml:space="preserve">Variables that will be used include physical health, social interaction levels, </w:t>
      </w:r>
      <w:r>
        <w:rPr>
          <w:szCs w:val="24"/>
        </w:rPr>
        <w:t>familial</w:t>
      </w:r>
      <w:r>
        <w:rPr>
          <w:szCs w:val="24"/>
        </w:rPr>
        <w:t xml:space="preserve"> relationships, and academic attainment. In past studies, PC gaming has been found to have a </w:t>
      </w:r>
      <w:r>
        <w:rPr>
          <w:szCs w:val="24"/>
        </w:rPr>
        <w:t>negative</w:t>
      </w:r>
      <w:r>
        <w:rPr>
          <w:szCs w:val="24"/>
        </w:rPr>
        <w:t xml:space="preserve"> correlation with these variables. </w:t>
      </w:r>
      <w:r>
        <w:rPr>
          <w:szCs w:val="24"/>
        </w:rPr>
        <w:t>However</w:t>
      </w:r>
      <w:r>
        <w:rPr>
          <w:szCs w:val="24"/>
        </w:rPr>
        <w:t xml:space="preserve">, minimal studies have been conducted to determine whether the type of game influences IFD cases. </w:t>
      </w:r>
      <w:r>
        <w:rPr>
          <w:szCs w:val="24"/>
        </w:rPr>
        <w:t xml:space="preserve"> According to </w:t>
      </w:r>
      <w:r>
        <w:rPr>
          <w:szCs w:val="24"/>
          <w:shd w:fill="FFFFFF"/>
        </w:rPr>
        <w:t>L</w:t>
      </w:r>
      <w:r>
        <w:rPr>
          <w:szCs w:val="24"/>
          <w:shd w:fill="FFFFFF"/>
        </w:rPr>
        <w:t>emmens, Valkenburg, and Gentile</w:t>
      </w:r>
      <w:r>
        <w:rPr>
          <w:szCs w:val="24"/>
        </w:rPr>
        <w:t xml:space="preserve"> (2015), although</w:t>
      </w:r>
      <w:r>
        <w:rPr>
          <w:szCs w:val="24"/>
        </w:rPr>
        <w:t xml:space="preserve"> the </w:t>
      </w:r>
      <w:r>
        <w:rPr>
          <w:szCs w:val="24"/>
        </w:rPr>
        <w:t>World</w:t>
      </w:r>
      <w:r>
        <w:rPr>
          <w:szCs w:val="24"/>
        </w:rPr>
        <w:t xml:space="preserve"> </w:t>
      </w:r>
      <w:r>
        <w:rPr>
          <w:szCs w:val="24"/>
        </w:rPr>
        <w:t>Health</w:t>
      </w:r>
      <w:r>
        <w:rPr>
          <w:szCs w:val="24"/>
        </w:rPr>
        <w:t xml:space="preserve"> Organization defines IFD as a growing problem </w:t>
      </w:r>
      <w:r>
        <w:rPr>
          <w:szCs w:val="24"/>
        </w:rPr>
        <w:t>among</w:t>
      </w:r>
      <w:r>
        <w:rPr>
          <w:szCs w:val="24"/>
        </w:rPr>
        <w:t xml:space="preserve"> young </w:t>
      </w:r>
      <w:r>
        <w:rPr>
          <w:szCs w:val="24"/>
        </w:rPr>
        <w:t>individuals</w:t>
      </w:r>
      <w:r>
        <w:rPr>
          <w:szCs w:val="24"/>
        </w:rPr>
        <w:t xml:space="preserve">, it </w:t>
      </w:r>
      <w:r>
        <w:rPr>
          <w:szCs w:val="24"/>
        </w:rPr>
        <w:t>also</w:t>
      </w:r>
      <w:r>
        <w:rPr>
          <w:szCs w:val="24"/>
        </w:rPr>
        <w:t xml:space="preserve"> </w:t>
      </w:r>
      <w:r>
        <w:rPr>
          <w:szCs w:val="24"/>
        </w:rPr>
        <w:t>acknowledges</w:t>
      </w:r>
      <w:r>
        <w:rPr>
          <w:szCs w:val="24"/>
        </w:rPr>
        <w:t xml:space="preserve"> that there is a need for </w:t>
      </w:r>
      <w:r>
        <w:rPr>
          <w:szCs w:val="24"/>
        </w:rPr>
        <w:t>in-depth</w:t>
      </w:r>
      <w:r>
        <w:rPr>
          <w:szCs w:val="24"/>
        </w:rPr>
        <w:t xml:space="preserve"> studies. An evidence-based </w:t>
      </w:r>
      <w:r>
        <w:rPr>
          <w:szCs w:val="24"/>
        </w:rPr>
        <w:t>approach</w:t>
      </w:r>
      <w:r>
        <w:rPr>
          <w:szCs w:val="24"/>
        </w:rPr>
        <w:t xml:space="preserve"> is suitable in </w:t>
      </w:r>
      <w:r>
        <w:rPr>
          <w:szCs w:val="24"/>
        </w:rPr>
        <w:t>determining</w:t>
      </w:r>
      <w:r>
        <w:rPr>
          <w:szCs w:val="24"/>
        </w:rPr>
        <w:t xml:space="preserve"> b</w:t>
      </w:r>
      <w:r>
        <w:rPr>
          <w:szCs w:val="24"/>
        </w:rPr>
        <w:t xml:space="preserve">oth the trigger factors and practical </w:t>
      </w:r>
      <w:r>
        <w:rPr>
          <w:szCs w:val="24"/>
        </w:rPr>
        <w:t>interventions</w:t>
      </w:r>
      <w:r>
        <w:rPr>
          <w:szCs w:val="24"/>
        </w:rPr>
        <w:t xml:space="preserve"> to address the condition. </w:t>
      </w:r>
      <w:r>
        <w:rPr>
          <w:szCs w:val="24"/>
        </w:rPr>
        <w:t xml:space="preserve">The </w:t>
      </w:r>
      <w:r>
        <w:rPr>
          <w:szCs w:val="24"/>
        </w:rPr>
        <w:t>study will offer a scientific background of researching</w:t>
      </w:r>
      <w:r>
        <w:rPr>
          <w:szCs w:val="24"/>
        </w:rPr>
        <w:t xml:space="preserve"> the condition and the treatment options. </w:t>
      </w:r>
    </w:p>
    <w:p>
      <w:pPr>
        <w:pStyle w:val="Normal"/>
        <w:jc w:val="both"/>
        <w:ind w:firstLine="0"/>
        <w:contextualSpacing/>
        <w:spacing w:line="480" w:lineRule="auto"/>
        <w:rPr>
          <w:szCs w:val="24"/>
        </w:rPr>
      </w:pPr>
    </w:p>
    <w:p>
      <w:pPr>
        <w:pStyle w:val="Normal"/>
        <w:jc w:val="both"/>
        <w:ind w:firstLine="0"/>
        <w:contextualSpacing/>
        <w:spacing w:line="480" w:lineRule="auto"/>
        <w:rPr>
          <w:szCs w:val="24"/>
        </w:rPr>
      </w:pPr>
    </w:p>
    <w:p>
      <w:pPr>
        <w:pStyle w:val="Normal"/>
        <w:jc w:val="center"/>
        <w:ind w:firstLine="0"/>
        <w:contextualSpacing/>
        <w:spacing w:line="480" w:lineRule="auto"/>
        <w:rPr>
          <w:szCs w:val="24"/>
        </w:rPr>
      </w:pPr>
      <w:r>
        <w:rPr>
          <w:szCs w:val="24"/>
        </w:rPr>
        <w:t>References</w:t>
      </w:r>
    </w:p>
    <w:p>
      <w:pPr>
        <w:pStyle w:val="Normal"/>
        <w:ind w:left="578"/>
        <w:ind w:hanging="578"/>
        <w:spacing w:line="480" w:lineRule="auto"/>
        <w:rPr>
          <w:szCs w:val="24"/>
        </w:rPr>
      </w:pPr>
      <w:r>
        <w:rPr>
          <w:szCs w:val="24"/>
          <w:shd w:fill="FFFFFF"/>
        </w:rPr>
        <w:t xml:space="preserve">Griffiths, M. D., Van Rooij, A. J., </w:t>
      </w:r>
      <w:r>
        <w:rPr>
          <w:szCs w:val="24"/>
          <w:shd w:fill="FFFFFF"/>
        </w:rPr>
        <w:t>Kardefelt</w:t>
      </w:r>
      <w:r>
        <w:rPr>
          <w:szCs w:val="24"/>
          <w:shd w:fill="FFFFFF"/>
        </w:rPr>
        <w:t>‐</w:t>
      </w:r>
      <w:r>
        <w:rPr>
          <w:szCs w:val="24"/>
          <w:shd w:fill="FFFFFF"/>
        </w:rPr>
        <w:t xml:space="preserve">Winther, D., Starcevic, V., Király, O., Pallesen, S., &amp; King, D. L. (2016). Working towards an international consensus </w:t>
      </w:r>
      <w:r>
        <w:rPr>
          <w:szCs w:val="24"/>
          <w:shd w:fill="FFFFFF"/>
        </w:rPr>
        <w:t>on criteria for assessing Internet gaming disorder: A critical commentary on Petry et al. (2014). </w:t>
      </w:r>
      <w:r>
        <w:rPr>
          <w:i/>
          <w:szCs w:val="24"/>
          <w:shd w:fill="FFFFFF"/>
        </w:rPr>
        <w:t>Addiction</w:t>
      </w:r>
      <w:r>
        <w:rPr>
          <w:szCs w:val="24"/>
          <w:shd w:fill="FFFFFF"/>
        </w:rPr>
        <w:t>, </w:t>
      </w:r>
      <w:r>
        <w:rPr>
          <w:i/>
          <w:szCs w:val="24"/>
          <w:shd w:fill="FFFFFF"/>
        </w:rPr>
        <w:t>111</w:t>
      </w:r>
      <w:r>
        <w:rPr>
          <w:szCs w:val="24"/>
          <w:shd w:fill="FFFFFF"/>
        </w:rPr>
        <w:t xml:space="preserve">(1), </w:t>
      </w:r>
      <w:r>
        <w:rPr>
          <w:szCs w:val="24"/>
          <w:shd w:fill="FFFFFF"/>
        </w:rPr>
        <w:t>167-175.</w:t>
      </w:r>
    </w:p>
    <w:p>
      <w:pPr>
        <w:pStyle w:val="Normal"/>
        <w:ind w:left="578"/>
        <w:ind w:hanging="578"/>
        <w:spacing w:line="480" w:lineRule="auto"/>
        <w:rPr>
          <w:szCs w:val="24"/>
        </w:rPr>
      </w:pPr>
      <w:r>
        <w:rPr>
          <w:szCs w:val="24"/>
          <w:shd w:fill="FFFFFF"/>
        </w:rPr>
        <w:t>Lemmens, J. S., &amp; Hendriks, S. J. (2016). Addictive online games: Examining the relationship between game genres and Internet gaming disorder. </w:t>
      </w:r>
      <w:r>
        <w:rPr>
          <w:i/>
          <w:szCs w:val="24"/>
          <w:shd w:fill="FFFFFF"/>
        </w:rPr>
        <w:t>Cyberpsychology, Behavior, and Social Networking</w:t>
      </w:r>
      <w:r>
        <w:rPr>
          <w:szCs w:val="24"/>
          <w:shd w:fill="FFFFFF"/>
        </w:rPr>
        <w:t>, </w:t>
      </w:r>
      <w:r>
        <w:rPr>
          <w:i/>
          <w:szCs w:val="24"/>
          <w:shd w:fill="FFFFFF"/>
        </w:rPr>
        <w:t>19</w:t>
      </w:r>
      <w:r>
        <w:rPr>
          <w:szCs w:val="24"/>
          <w:shd w:fill="FFFFFF"/>
        </w:rPr>
        <w:t>(4), 270-276.</w:t>
      </w:r>
    </w:p>
    <w:p>
      <w:pPr>
        <w:pStyle w:val="Normal"/>
        <w:ind w:left="578"/>
        <w:ind w:hanging="578"/>
        <w:spacing w:line="480" w:lineRule="auto"/>
        <w:rPr>
          <w:szCs w:val="24"/>
        </w:rPr>
      </w:pPr>
      <w:r>
        <w:rPr>
          <w:szCs w:val="24"/>
          <w:shd w:fill="FFFFFF"/>
        </w:rPr>
        <w:t>Lemmens, J. S., Valkenburg, P. M., &amp; G</w:t>
      </w:r>
      <w:r>
        <w:rPr>
          <w:szCs w:val="24"/>
          <w:shd w:fill="FFFFFF"/>
        </w:rPr>
        <w:t>entile, D. A. (2015). The Internet gaming disorder scale. </w:t>
      </w:r>
      <w:r>
        <w:rPr>
          <w:i/>
          <w:szCs w:val="24"/>
          <w:shd w:fill="FFFFFF"/>
        </w:rPr>
        <w:t>Psychological assessment</w:t>
      </w:r>
      <w:r>
        <w:rPr>
          <w:szCs w:val="24"/>
          <w:shd w:fill="FFFFFF"/>
        </w:rPr>
        <w:t>, </w:t>
      </w:r>
      <w:r>
        <w:rPr>
          <w:i/>
          <w:szCs w:val="24"/>
          <w:shd w:fill="FFFFFF"/>
        </w:rPr>
        <w:t>27</w:t>
      </w:r>
      <w:r>
        <w:rPr>
          <w:szCs w:val="24"/>
          <w:shd w:fill="FFFFFF"/>
        </w:rPr>
        <w:t>(2), 567.</w:t>
      </w:r>
    </w:p>
    <w:p>
      <w:pPr>
        <w:pStyle w:val="Normal"/>
        <w:jc w:val="both"/>
        <w:contextualSpacing/>
        <w:spacing w:line="480" w:lineRule="auto"/>
        <w:rPr>
          <w:szCs w:val="24"/>
        </w:rPr>
      </w:pPr>
    </w:p>
    <w:sectPr>
      <w:headerReference r:id="rId8" w:type="default"/>
      <w:headerReference r:id="rId9" w:type="first"/>
      <w:footerReference r:id="rId10" w:type="default"/>
      <w:pgSz w:w="12240" w:h="15840"/>
      <w:pgMar w:left="1440" w:right="1440" w:top="1440" w:bottom="1440"/>
      <w:titlePg/>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font w:name="Symbol"/>
  <w:font w:name="Arial"/>
  <w:font w:name="Tahoma"/>
  <w:font w:name="Calibri"/>
  <w:font w:name="Cambria"/>
  <w:font w:name="Courier New"/>
  <w:font w:name="Wingdings"/>
  <w:font w:name="Cambria Math"/>
</w:fonts>
</file>

<file path=word/foot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Normal"/>
      <w:jc w:val="center"/>
    </w:pPr>
  </w:p>
</w:hd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rPr/>
      <w:t xml:space="preserve">INTERNET GAMING DISORDERS                          </w:t>
    </w:r>
    <w:r>
      <w:rPr/>
      <w:t xml:space="preserve">                                                 </w:t>
    </w:r>
    <w:r>
      <w:rPr/>
      <w:t xml:space="preserve">          </w:t>
    </w:r>
    <w:fldSimple w:instr=" PAGE  \* MERGEFORMAT ">
      <w:r>
        <w:rPr/>
        <w:t>4</w:t>
      </w:r>
    </w:fldSimple>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rPr/>
      <w:t xml:space="preserve">Running </w:t>
    </w:r>
    <w:r>
      <w:rPr/>
      <w:t>Head:</w:t>
    </w:r>
    <w:r>
      <w:rPr/>
      <w:t xml:space="preserve"> INTERNET GAMING DISORDERS</w:t>
    </w:r>
    <w:r>
      <w:rPr/>
      <w:t xml:space="preserve">                                                                    </w:t>
    </w:r>
    <w:fldSimple w:instr=" PAGE  \* MERGEFORMAT ">
      <w:r>
        <w:rPr/>
        <w:t>1</w:t>
      </w:r>
    </w:fldSimple>
    <w:r>
      <w:rP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420370734">
    <w:multiLevelType w:val="hybridMultilevel"/>
    <w:lvl w:ilvl="0">
      <w:numFmt w:val="decimal"/>
      <w:lvlText w:val="%1)"/>
      <w:start w:val="1"/>
      <w:lvlJc w:val="left"/>
      <w:pPr>
        <w:ind w:left="360"/>
        <w:ind w:hanging="360"/>
      </w:pPr>
      <w:rPr/>
    </w:lvl>
    <w:lvl w:ilvl="1">
      <w:numFmt w:val="lowerLetter"/>
      <w:lvlText w:val="%2)"/>
      <w:start w:val="1"/>
      <w:lvlJc w:val="left"/>
      <w:pPr>
        <w:ind w:left="720"/>
        <w:ind w:hanging="360"/>
      </w:pPr>
      <w:rPr/>
    </w:lvl>
    <w:lvl w:ilvl="2">
      <w:numFmt w:val="lowerRoman"/>
      <w:lvlText w:val="%3)"/>
      <w:start w:val="1"/>
      <w:lvlJc w:val="left"/>
      <w:pPr>
        <w:ind w:left="1080"/>
        <w:ind w:hanging="360"/>
      </w:pPr>
      <w:rPr/>
    </w:lvl>
    <w:lvl w:ilvl="3">
      <w:numFmt w:val="decimal"/>
      <w:lvlText w:val="(%4)"/>
      <w:start w:val="1"/>
      <w:lvlJc w:val="left"/>
      <w:pPr>
        <w:ind w:left="1440"/>
        <w:ind w:hanging="360"/>
      </w:pPr>
      <w:rPr/>
    </w:lvl>
    <w:lvl w:ilvl="4">
      <w:numFmt w:val="lowerLetter"/>
      <w:lvlText w:val="(%5)"/>
      <w:start w:val="1"/>
      <w:lvlJc w:val="left"/>
      <w:pPr>
        <w:ind w:left="1800"/>
        <w:ind w:hanging="360"/>
      </w:pPr>
      <w:rPr/>
    </w:lvl>
    <w:lvl w:ilvl="5">
      <w:numFmt w:val="lowerRoman"/>
      <w:lvlText w:val="(%6)"/>
      <w:start w:val="1"/>
      <w:lvlJc w:val="left"/>
      <w:pPr>
        <w:ind w:left="2160"/>
        <w:ind w:hanging="360"/>
      </w:pPr>
      <w:rPr/>
    </w:lvl>
    <w:lvl w:ilvl="6">
      <w:numFmt w:val="decimal"/>
      <w:lvlText w:val="%7."/>
      <w:start w:val="1"/>
      <w:lvlJc w:val="left"/>
      <w:pPr>
        <w:ind w:left="2520"/>
        <w:ind w:hanging="360"/>
      </w:pPr>
      <w:rPr/>
    </w:lvl>
    <w:lvl w:ilvl="7">
      <w:numFmt w:val="lowerLetter"/>
      <w:lvlText w:val="%8."/>
      <w:start w:val="1"/>
      <w:lvlJc w:val="left"/>
      <w:pPr>
        <w:ind w:left="2880"/>
        <w:ind w:hanging="360"/>
      </w:pPr>
      <w:rPr/>
    </w:lvl>
    <w:lvl w:ilvl="8">
      <w:numFmt w:val="lowerRoman"/>
      <w:lvlText w:val="%9."/>
      <w:start w:val="1"/>
      <w:lvlJc w:val="left"/>
      <w:pPr>
        <w:ind w:left="3240"/>
        <w:ind w:hanging="360"/>
      </w:pPr>
      <w:rPr/>
    </w:lvl>
  </w:abstractNum>
  <w:abstractNum w:abstractNumId="467670320">
    <w:multiLevelType w:val="hybridMultilevel"/>
    <w:lvl w:ilvl="0">
      <w:numFmt w:val="upperRoman"/>
      <w:lvlText w:val="%1."/>
      <w:start w:val="1"/>
      <w:lvlJc w:val="left"/>
      <w:pPr>
        <w:ind w:left="1080"/>
        <w:ind w:hanging="720"/>
      </w:pPr>
      <w:rPr/>
    </w:lvl>
    <w:lvl w:ilvl="1">
      <w:numFmt w:val="decimal"/>
      <w:lvlText w:val="%2."/>
      <w:start w:val="1"/>
      <w:lvlJc w:val="left"/>
      <w:pPr>
        <w:ind w:left="1440"/>
        <w:ind w:hanging="360"/>
      </w:pPr>
      <w:rPr/>
    </w:lvl>
    <w:lvl w:ilvl="2">
      <w:numFmt w:val="decimal"/>
      <w:lvlText w:val="%3."/>
      <w:start w:val="1"/>
      <w:lvlJc w:val="left"/>
      <w:pPr>
        <w:ind w:left="2160"/>
        <w:ind w:hanging="360"/>
      </w:pPr>
      <w:rPr/>
    </w:lvl>
    <w:lvl w:ilvl="3">
      <w:numFmt w:val="decimal"/>
      <w:lvlText w:val="%4."/>
      <w:start w:val="1"/>
      <w:lvlJc w:val="left"/>
      <w:pPr>
        <w:ind w:left="2880"/>
        <w:ind w:hanging="360"/>
      </w:pPr>
      <w:rPr/>
    </w:lvl>
    <w:lvl w:ilvl="4">
      <w:numFmt w:val="decimal"/>
      <w:lvlText w:val="%5."/>
      <w:start w:val="1"/>
      <w:lvlJc w:val="left"/>
      <w:pPr>
        <w:ind w:left="3600"/>
        <w:ind w:hanging="360"/>
      </w:pPr>
      <w:rPr/>
    </w:lvl>
    <w:lvl w:ilvl="5">
      <w:numFmt w:val="decimal"/>
      <w:lvlText w:val="%6."/>
      <w:start w:val="1"/>
      <w:lvlJc w:val="left"/>
      <w:pPr>
        <w:ind w:left="4320"/>
        <w:ind w:hanging="360"/>
      </w:pPr>
      <w:rPr/>
    </w:lvl>
    <w:lvl w:ilvl="6">
      <w:numFmt w:val="decimal"/>
      <w:lvlText w:val="%7."/>
      <w:start w:val="1"/>
      <w:lvlJc w:val="left"/>
      <w:pPr>
        <w:ind w:left="5040"/>
        <w:ind w:hanging="360"/>
      </w:pPr>
      <w:rPr/>
    </w:lvl>
    <w:lvl w:ilvl="7">
      <w:numFmt w:val="decimal"/>
      <w:lvlText w:val="%8."/>
      <w:start w:val="1"/>
      <w:lvlJc w:val="left"/>
      <w:pPr>
        <w:ind w:left="5760"/>
        <w:ind w:hanging="360"/>
      </w:pPr>
      <w:rPr/>
    </w:lvl>
    <w:lvl w:ilvl="8">
      <w:numFmt w:val="decimal"/>
      <w:lvlText w:val="%9."/>
      <w:start w:val="1"/>
      <w:lvlJc w:val="left"/>
      <w:pPr>
        <w:ind w:left="6480"/>
        <w:ind w:hanging="360"/>
      </w:pPr>
      <w:rPr/>
    </w:lvl>
  </w:abstractNum>
  <w:abstractNum w:abstractNumId="1009484431">
    <w:multiLevelType w:val="hybridMultilevel"/>
    <w:lvl w:ilvl="0">
      <w:numFmt w:val="decimal"/>
      <w:lvlText w:val=""/>
      <w:start w:val="1"/>
      <w:lvlJc w:val="left"/>
      <w:pPr/>
      <w:rPr/>
    </w:lvl>
    <w:lvl w:ilvl="1">
      <w:numFmt w:val="decimal"/>
      <w:lvlText w:val=""/>
      <w:start w:val="0"/>
      <w:lvlJc w:val="left"/>
      <w:pPr/>
      <w:rPr/>
    </w:lvl>
    <w:lvl w:ilvl="2">
      <w:numFmt w:val="decimal"/>
      <w:lvlText w:val=""/>
      <w:start w:val="0"/>
      <w:lvlJc w:val="left"/>
      <w:pPr/>
      <w:rPr/>
    </w:lvl>
    <w:lvl w:ilvl="3">
      <w:numFmt w:val="decimal"/>
      <w:lvlText w:val=""/>
      <w:start w:val="0"/>
      <w:lvlJc w:val="left"/>
      <w:pPr/>
      <w:rPr/>
    </w:lvl>
    <w:lvl w:ilvl="4">
      <w:numFmt w:val="decimal"/>
      <w:lvlText w:val=""/>
      <w:start w:val="0"/>
      <w:lvlJc w:val="left"/>
      <w:pPr/>
      <w:rPr/>
    </w:lvl>
    <w:lvl w:ilvl="5">
      <w:numFmt w:val="decimal"/>
      <w:lvlText w:val=""/>
      <w:start w:val="0"/>
      <w:lvlJc w:val="left"/>
      <w:pPr/>
      <w:rPr/>
    </w:lvl>
    <w:lvl w:ilvl="6">
      <w:numFmt w:val="decimal"/>
      <w:lvlText w:val=""/>
      <w:start w:val="0"/>
      <w:lvlJc w:val="left"/>
      <w:pPr/>
      <w:rPr/>
    </w:lvl>
    <w:lvl w:ilvl="7">
      <w:numFmt w:val="decimal"/>
      <w:lvlText w:val=""/>
      <w:start w:val="0"/>
      <w:lvlJc w:val="left"/>
      <w:pPr/>
      <w:rPr/>
    </w:lvl>
    <w:lvl w:ilvl="8">
      <w:numFmt w:val="decimal"/>
      <w:lvlText w:val=""/>
      <w:start w:val="0"/>
      <w:lvlJc w:val="left"/>
      <w:pPr/>
      <w:rPr/>
    </w:lvl>
  </w:abstractNum>
  <w:abstractNum w:abstractNumId="1023282566">
    <w:multiLevelType w:val="hybridMultilevel"/>
    <w:lvl w:ilvl="0">
      <w:numFmt w:val="bullet"/>
      <w:lvlText w:val=""/>
      <w:start w:val="0"/>
      <w:lvlJc w:val="left"/>
      <w:pPr>
        <w:ind w:left="720"/>
        <w:ind w:hanging="360"/>
      </w:pPr>
      <w:rPr>
        <w:rFonts w:ascii="Symbol" w:hAnsi="Symbol"/>
      </w:rPr>
    </w:lvl>
    <w:lvl w:ilvl="1">
      <w:numFmt w:val="bullet"/>
      <w:lvlText w:val="o"/>
      <w:start w:val="0"/>
      <w:lvlJc w:val="left"/>
      <w:pPr>
        <w:ind w:left="1440"/>
        <w:ind w:hanging="360"/>
      </w:pPr>
      <w:rPr>
        <w:rFonts w:ascii="Courier New" w:hAnsi="Courier New"/>
      </w:rPr>
    </w:lvl>
    <w:lvl w:ilvl="2">
      <w:numFmt w:val="bullet"/>
      <w:lvlText w:val=""/>
      <w:start w:val="0"/>
      <w:lvlJc w:val="left"/>
      <w:pPr>
        <w:ind w:left="2160"/>
        <w:ind w:hanging="360"/>
      </w:pPr>
      <w:rPr>
        <w:rFonts w:ascii="Wingdings" w:hAnsi="Wingdings"/>
      </w:rPr>
    </w:lvl>
    <w:lvl w:ilvl="3">
      <w:numFmt w:val="bullet"/>
      <w:lvlText w:val=""/>
      <w:start w:val="0"/>
      <w:lvlJc w:val="left"/>
      <w:pPr>
        <w:ind w:left="2880"/>
        <w:ind w:hanging="360"/>
      </w:pPr>
      <w:rPr>
        <w:rFonts w:ascii="Symbol" w:hAnsi="Symbol"/>
      </w:rPr>
    </w:lvl>
    <w:lvl w:ilvl="4">
      <w:numFmt w:val="bullet"/>
      <w:lvlText w:val="o"/>
      <w:start w:val="0"/>
      <w:lvlJc w:val="left"/>
      <w:pPr>
        <w:ind w:left="3600"/>
        <w:ind w:hanging="360"/>
      </w:pPr>
      <w:rPr>
        <w:rFonts w:ascii="Courier New" w:hAnsi="Courier New"/>
      </w:rPr>
    </w:lvl>
    <w:lvl w:ilvl="5">
      <w:numFmt w:val="bullet"/>
      <w:lvlText w:val=""/>
      <w:start w:val="0"/>
      <w:lvlJc w:val="left"/>
      <w:pPr>
        <w:ind w:left="4320"/>
        <w:ind w:hanging="360"/>
      </w:pPr>
      <w:rPr>
        <w:rFonts w:ascii="Wingdings" w:hAnsi="Wingdings"/>
      </w:rPr>
    </w:lvl>
    <w:lvl w:ilvl="6">
      <w:numFmt w:val="bullet"/>
      <w:lvlText w:val=""/>
      <w:start w:val="0"/>
      <w:lvlJc w:val="left"/>
      <w:pPr>
        <w:ind w:left="5040"/>
        <w:ind w:hanging="360"/>
      </w:pPr>
      <w:rPr>
        <w:rFonts w:ascii="Symbol" w:hAnsi="Symbol"/>
      </w:rPr>
    </w:lvl>
    <w:lvl w:ilvl="7">
      <w:numFmt w:val="bullet"/>
      <w:lvlText w:val="o"/>
      <w:start w:val="0"/>
      <w:lvlJc w:val="left"/>
      <w:pPr>
        <w:ind w:left="5760"/>
        <w:ind w:hanging="360"/>
      </w:pPr>
      <w:rPr>
        <w:rFonts w:ascii="Courier New" w:hAnsi="Courier New"/>
      </w:rPr>
    </w:lvl>
    <w:lvl w:ilvl="8">
      <w:numFmt w:val="bullet"/>
      <w:lvlText w:val=""/>
      <w:start w:val="0"/>
      <w:lvlJc w:val="left"/>
      <w:pPr>
        <w:ind w:left="6480"/>
        <w:ind w:hanging="360"/>
      </w:pPr>
      <w:rPr>
        <w:rFonts w:ascii="Wingdings" w:hAnsi="Wingdings"/>
      </w:rPr>
    </w:lvl>
  </w:abstractNum>
  <w:abstractNum w:abstractNumId="1106507510">
    <w:multiLevelType w:val="hybridMultilevel"/>
    <w:lvl w:ilvl="0">
      <w:numFmt w:val="decimal"/>
      <w:lvlText w:val=""/>
      <w:start w:val="1"/>
      <w:lvlJc w:val="left"/>
      <w:pPr/>
      <w:rPr/>
    </w:lvl>
    <w:lvl w:ilvl="1">
      <w:numFmt w:val="decimal"/>
      <w:lvlText w:val=""/>
      <w:start w:val="0"/>
      <w:lvlJc w:val="left"/>
      <w:pPr/>
      <w:rPr/>
    </w:lvl>
    <w:lvl w:ilvl="2">
      <w:numFmt w:val="decimal"/>
      <w:lvlText w:val=""/>
      <w:start w:val="0"/>
      <w:lvlJc w:val="left"/>
      <w:pPr/>
      <w:rPr/>
    </w:lvl>
    <w:lvl w:ilvl="3">
      <w:numFmt w:val="decimal"/>
      <w:lvlText w:val=""/>
      <w:start w:val="0"/>
      <w:lvlJc w:val="left"/>
      <w:pPr/>
      <w:rPr/>
    </w:lvl>
    <w:lvl w:ilvl="4">
      <w:numFmt w:val="decimal"/>
      <w:lvlText w:val=""/>
      <w:start w:val="0"/>
      <w:lvlJc w:val="left"/>
      <w:pPr/>
      <w:rPr/>
    </w:lvl>
    <w:lvl w:ilvl="5">
      <w:numFmt w:val="decimal"/>
      <w:lvlText w:val=""/>
      <w:start w:val="0"/>
      <w:lvlJc w:val="left"/>
      <w:pPr/>
      <w:rPr/>
    </w:lvl>
    <w:lvl w:ilvl="6">
      <w:numFmt w:val="decimal"/>
      <w:lvlText w:val=""/>
      <w:start w:val="0"/>
      <w:lvlJc w:val="left"/>
      <w:pPr/>
      <w:rPr/>
    </w:lvl>
    <w:lvl w:ilvl="7">
      <w:numFmt w:val="decimal"/>
      <w:lvlText w:val=""/>
      <w:start w:val="0"/>
      <w:lvlJc w:val="left"/>
      <w:pPr/>
      <w:rPr/>
    </w:lvl>
    <w:lvl w:ilvl="8">
      <w:numFmt w:val="decimal"/>
      <w:lvlText w:val=""/>
      <w:start w:val="0"/>
      <w:lvlJc w:val="left"/>
      <w:pPr/>
      <w:rPr/>
    </w:lvl>
  </w:abstractNum>
  <w:abstractNum w:abstractNumId="1292975388">
    <w:multiLevelType w:val="hybridMultilevel"/>
    <w:lvl w:ilvl="0">
      <w:numFmt w:val="upperRoman"/>
      <w:lvlText w:val="%1."/>
      <w:start w:val="1"/>
      <w:lvlJc w:val="left"/>
      <w:pPr>
        <w:ind w:left="1080"/>
        <w:ind w:hanging="720"/>
      </w:pPr>
      <w:rPr/>
    </w:lvl>
    <w:lvl w:ilvl="1">
      <w:numFmt w:val="decimal"/>
      <w:lvlText w:val="%2."/>
      <w:start w:val="1"/>
      <w:lvlJc w:val="left"/>
      <w:pPr>
        <w:ind w:left="1440"/>
        <w:ind w:hanging="360"/>
      </w:pPr>
      <w:rPr/>
    </w:lvl>
    <w:lvl w:ilvl="2">
      <w:numFmt w:val="decimal"/>
      <w:lvlText w:val="%3."/>
      <w:start w:val="1"/>
      <w:lvlJc w:val="left"/>
      <w:pPr>
        <w:ind w:left="2160"/>
        <w:ind w:hanging="360"/>
      </w:pPr>
      <w:rPr/>
    </w:lvl>
    <w:lvl w:ilvl="3">
      <w:numFmt w:val="decimal"/>
      <w:lvlText w:val="%4."/>
      <w:start w:val="1"/>
      <w:lvlJc w:val="left"/>
      <w:pPr>
        <w:ind w:left="2880"/>
        <w:ind w:hanging="360"/>
      </w:pPr>
      <w:rPr/>
    </w:lvl>
    <w:lvl w:ilvl="4">
      <w:numFmt w:val="decimal"/>
      <w:lvlText w:val="%5."/>
      <w:start w:val="1"/>
      <w:lvlJc w:val="left"/>
      <w:pPr>
        <w:ind w:left="3600"/>
        <w:ind w:hanging="360"/>
      </w:pPr>
      <w:rPr/>
    </w:lvl>
    <w:lvl w:ilvl="5">
      <w:numFmt w:val="decimal"/>
      <w:lvlText w:val="%6."/>
      <w:start w:val="1"/>
      <w:lvlJc w:val="left"/>
      <w:pPr>
        <w:ind w:left="4320"/>
        <w:ind w:hanging="360"/>
      </w:pPr>
      <w:rPr/>
    </w:lvl>
    <w:lvl w:ilvl="6">
      <w:numFmt w:val="decimal"/>
      <w:lvlText w:val="%7."/>
      <w:start w:val="1"/>
      <w:lvlJc w:val="left"/>
      <w:pPr>
        <w:ind w:left="5040"/>
        <w:ind w:hanging="360"/>
      </w:pPr>
      <w:rPr/>
    </w:lvl>
    <w:lvl w:ilvl="7">
      <w:numFmt w:val="decimal"/>
      <w:lvlText w:val="%8."/>
      <w:start w:val="1"/>
      <w:lvlJc w:val="left"/>
      <w:pPr>
        <w:ind w:left="5760"/>
        <w:ind w:hanging="360"/>
      </w:pPr>
      <w:rPr/>
    </w:lvl>
    <w:lvl w:ilvl="8">
      <w:numFmt w:val="decimal"/>
      <w:lvlText w:val="%9."/>
      <w:start w:val="1"/>
      <w:lvlJc w:val="left"/>
      <w:pPr>
        <w:ind w:left="6480"/>
        <w:ind w:hanging="360"/>
      </w:pPr>
      <w:rPr/>
    </w:lvl>
  </w:abstractNum>
  <w:abstractNum w:abstractNumId="1365447510">
    <w:multiLevelType w:val="hybridMultilevel"/>
    <w:lvl w:ilvl="0">
      <w:numFmt w:val="upperRoman"/>
      <w:lvlText w:val="%1."/>
      <w:start w:val="1"/>
      <w:lvlJc w:val="left"/>
      <w:pPr>
        <w:ind w:left="1440"/>
        <w:ind w:hanging="720"/>
      </w:pPr>
      <w:rPr/>
    </w:lvl>
    <w:lvl w:ilvl="1">
      <w:numFmt w:val="decimal"/>
      <w:lvlText w:val="%2."/>
      <w:start w:val="1"/>
      <w:lvlJc w:val="left"/>
      <w:pPr>
        <w:ind w:left="1800"/>
        <w:ind w:hanging="360"/>
      </w:pPr>
      <w:rPr/>
    </w:lvl>
    <w:lvl w:ilvl="2">
      <w:numFmt w:val="decimal"/>
      <w:lvlText w:val="%3."/>
      <w:start w:val="1"/>
      <w:lvlJc w:val="left"/>
      <w:pPr>
        <w:ind w:left="2520"/>
        <w:ind w:hanging="360"/>
      </w:pPr>
      <w:rPr/>
    </w:lvl>
    <w:lvl w:ilvl="3">
      <w:numFmt w:val="decimal"/>
      <w:lvlText w:val="%4."/>
      <w:start w:val="1"/>
      <w:lvlJc w:val="left"/>
      <w:pPr>
        <w:ind w:left="3240"/>
        <w:ind w:hanging="360"/>
      </w:pPr>
      <w:rPr/>
    </w:lvl>
    <w:lvl w:ilvl="4">
      <w:numFmt w:val="decimal"/>
      <w:lvlText w:val="%5."/>
      <w:start w:val="1"/>
      <w:lvlJc w:val="left"/>
      <w:pPr>
        <w:ind w:left="3960"/>
        <w:ind w:hanging="360"/>
      </w:pPr>
      <w:rPr/>
    </w:lvl>
    <w:lvl w:ilvl="5">
      <w:numFmt w:val="decimal"/>
      <w:lvlText w:val="%6."/>
      <w:start w:val="1"/>
      <w:lvlJc w:val="left"/>
      <w:pPr>
        <w:ind w:left="4680"/>
        <w:ind w:hanging="360"/>
      </w:pPr>
      <w:rPr/>
    </w:lvl>
    <w:lvl w:ilvl="6">
      <w:numFmt w:val="decimal"/>
      <w:lvlText w:val="%7."/>
      <w:start w:val="1"/>
      <w:lvlJc w:val="left"/>
      <w:pPr>
        <w:ind w:left="5400"/>
        <w:ind w:hanging="360"/>
      </w:pPr>
      <w:rPr/>
    </w:lvl>
    <w:lvl w:ilvl="7">
      <w:numFmt w:val="decimal"/>
      <w:lvlText w:val="%8."/>
      <w:start w:val="1"/>
      <w:lvlJc w:val="left"/>
      <w:pPr>
        <w:ind w:left="6120"/>
        <w:ind w:hanging="360"/>
      </w:pPr>
      <w:rPr/>
    </w:lvl>
    <w:lvl w:ilvl="8">
      <w:numFmt w:val="decimal"/>
      <w:lvlText w:val="%9."/>
      <w:start w:val="1"/>
      <w:lvlJc w:val="left"/>
      <w:pPr>
        <w:ind w:left="6840"/>
        <w:ind w:hanging="360"/>
      </w:pPr>
      <w:rPr/>
    </w:lvl>
  </w:abstractNum>
  <w:abstractNum w:abstractNumId="1609241170">
    <w:multiLevelType w:val="hybridMultilevel"/>
    <w:lvl w:ilvl="0">
      <w:numFmt w:val="bullet"/>
      <w:lvlText w:val=""/>
      <w:start w:val="0"/>
      <w:lvlJc w:val="left"/>
      <w:pPr>
        <w:ind w:left="432"/>
        <w:ind w:hanging="432"/>
      </w:pPr>
      <w:rPr>
        <w:rFonts w:ascii="Symbol" w:hAnsi="Symbol"/>
        <w:sz w:val="16"/>
        <w:szCs w:val="16"/>
      </w:rPr>
    </w:lvl>
    <w:lvl w:ilvl="1">
      <w:numFmt w:val="bullet"/>
      <w:lvlText w:val="o"/>
      <w:start w:val="0"/>
      <w:lvlJc w:val="left"/>
      <w:pPr>
        <w:ind w:left="1440"/>
        <w:ind w:hanging="360"/>
      </w:pPr>
      <w:rPr>
        <w:rFonts w:ascii="Courier New" w:hAnsi="Courier New"/>
      </w:rPr>
    </w:lvl>
    <w:lvl w:ilvl="2">
      <w:numFmt w:val="bullet"/>
      <w:lvlText w:val=""/>
      <w:start w:val="0"/>
      <w:lvlJc w:val="left"/>
      <w:pPr>
        <w:ind w:left="2160"/>
        <w:ind w:hanging="360"/>
      </w:pPr>
      <w:rPr>
        <w:rFonts w:ascii="Wingdings" w:hAnsi="Wingdings"/>
      </w:rPr>
    </w:lvl>
    <w:lvl w:ilvl="3">
      <w:numFmt w:val="bullet"/>
      <w:lvlText w:val=""/>
      <w:start w:val="0"/>
      <w:lvlJc w:val="left"/>
      <w:pPr>
        <w:ind w:left="2880"/>
        <w:ind w:hanging="360"/>
      </w:pPr>
      <w:rPr>
        <w:rFonts w:ascii="Symbol" w:hAnsi="Symbol"/>
      </w:rPr>
    </w:lvl>
    <w:lvl w:ilvl="4">
      <w:numFmt w:val="bullet"/>
      <w:lvlText w:val="o"/>
      <w:start w:val="0"/>
      <w:lvlJc w:val="left"/>
      <w:pPr>
        <w:ind w:left="3600"/>
        <w:ind w:hanging="360"/>
      </w:pPr>
      <w:rPr>
        <w:rFonts w:ascii="Courier New" w:hAnsi="Courier New"/>
      </w:rPr>
    </w:lvl>
    <w:lvl w:ilvl="5">
      <w:numFmt w:val="bullet"/>
      <w:lvlText w:val=""/>
      <w:start w:val="0"/>
      <w:lvlJc w:val="left"/>
      <w:pPr>
        <w:ind w:left="4320"/>
        <w:ind w:hanging="360"/>
      </w:pPr>
      <w:rPr>
        <w:rFonts w:ascii="Wingdings" w:hAnsi="Wingdings"/>
      </w:rPr>
    </w:lvl>
    <w:lvl w:ilvl="6">
      <w:numFmt w:val="bullet"/>
      <w:lvlText w:val=""/>
      <w:start w:val="0"/>
      <w:lvlJc w:val="left"/>
      <w:pPr>
        <w:ind w:left="5040"/>
        <w:ind w:hanging="360"/>
      </w:pPr>
      <w:rPr>
        <w:rFonts w:ascii="Symbol" w:hAnsi="Symbol"/>
      </w:rPr>
    </w:lvl>
    <w:lvl w:ilvl="7">
      <w:numFmt w:val="bullet"/>
      <w:lvlText w:val="o"/>
      <w:start w:val="0"/>
      <w:lvlJc w:val="left"/>
      <w:pPr>
        <w:ind w:left="5760"/>
        <w:ind w:hanging="360"/>
      </w:pPr>
      <w:rPr>
        <w:rFonts w:ascii="Courier New" w:hAnsi="Courier New"/>
      </w:rPr>
    </w:lvl>
    <w:lvl w:ilvl="8">
      <w:numFmt w:val="bullet"/>
      <w:lvlText w:val=""/>
      <w:start w:val="0"/>
      <w:lvlJc w:val="left"/>
      <w:pPr>
        <w:ind w:left="6480"/>
        <w:ind w:hanging="360"/>
      </w:pPr>
      <w:rPr>
        <w:rFonts w:ascii="Wingdings" w:hAnsi="Wingdings"/>
      </w:rPr>
    </w:lvl>
  </w:abstractNum>
  <w:abstractNum w:abstractNumId="1657523230">
    <w:multiLevelType w:val="hybridMultilevel"/>
    <w:lvl w:ilvl="0">
      <w:numFmt w:val="decimal"/>
      <w:lvlText w:val=""/>
      <w:start w:val="1"/>
      <w:lvlJc w:val="left"/>
      <w:pPr/>
      <w:rPr/>
    </w:lvl>
    <w:lvl w:ilvl="1">
      <w:numFmt w:val="decimal"/>
      <w:lvlText w:val=""/>
      <w:start w:val="0"/>
      <w:lvlJc w:val="left"/>
      <w:pPr/>
      <w:rPr/>
    </w:lvl>
    <w:lvl w:ilvl="2">
      <w:numFmt w:val="decimal"/>
      <w:lvlText w:val=""/>
      <w:start w:val="0"/>
      <w:lvlJc w:val="left"/>
      <w:pPr/>
      <w:rPr/>
    </w:lvl>
    <w:lvl w:ilvl="3">
      <w:numFmt w:val="decimal"/>
      <w:lvlText w:val=""/>
      <w:start w:val="0"/>
      <w:lvlJc w:val="left"/>
      <w:pPr/>
      <w:rPr/>
    </w:lvl>
    <w:lvl w:ilvl="4">
      <w:numFmt w:val="decimal"/>
      <w:lvlText w:val=""/>
      <w:start w:val="0"/>
      <w:lvlJc w:val="left"/>
      <w:pPr/>
      <w:rPr/>
    </w:lvl>
    <w:lvl w:ilvl="5">
      <w:numFmt w:val="decimal"/>
      <w:lvlText w:val=""/>
      <w:start w:val="0"/>
      <w:lvlJc w:val="left"/>
      <w:pPr/>
      <w:rPr/>
    </w:lvl>
    <w:lvl w:ilvl="6">
      <w:numFmt w:val="decimal"/>
      <w:lvlText w:val=""/>
      <w:start w:val="0"/>
      <w:lvlJc w:val="left"/>
      <w:pPr/>
      <w:rPr/>
    </w:lvl>
    <w:lvl w:ilvl="7">
      <w:numFmt w:val="decimal"/>
      <w:lvlText w:val=""/>
      <w:start w:val="0"/>
      <w:lvlJc w:val="left"/>
      <w:pPr/>
      <w:rPr/>
    </w:lvl>
    <w:lvl w:ilvl="8">
      <w:numFmt w:val="decimal"/>
      <w:lvlText w:val=""/>
      <w:start w:val="0"/>
      <w:lvlJc w:val="left"/>
      <w:pPr/>
      <w:rPr/>
    </w:lvl>
  </w:abstractNum>
  <w:abstractNum w:abstractNumId="2051219215">
    <w:multiLevelType w:val="hybridMultilevel"/>
    <w:lvl w:ilvl="0">
      <w:numFmt w:val="upperRoman"/>
      <w:lvlText w:val="%1."/>
      <w:start w:val="1"/>
      <w:lvlJc w:val="left"/>
      <w:pPr>
        <w:ind w:left="1080"/>
        <w:ind w:hanging="720"/>
      </w:pPr>
      <w:rPr/>
    </w:lvl>
    <w:lvl w:ilvl="1">
      <w:numFmt w:val="decimal"/>
      <w:lvlText w:val="%2."/>
      <w:start w:val="1"/>
      <w:lvlJc w:val="left"/>
      <w:pPr>
        <w:ind w:left="1440"/>
        <w:ind w:hanging="360"/>
      </w:pPr>
      <w:rPr/>
    </w:lvl>
    <w:lvl w:ilvl="2">
      <w:numFmt w:val="decimal"/>
      <w:lvlText w:val="%3."/>
      <w:start w:val="1"/>
      <w:lvlJc w:val="left"/>
      <w:pPr>
        <w:ind w:left="2160"/>
        <w:ind w:hanging="360"/>
      </w:pPr>
      <w:rPr/>
    </w:lvl>
    <w:lvl w:ilvl="3">
      <w:numFmt w:val="decimal"/>
      <w:lvlText w:val="%4."/>
      <w:start w:val="1"/>
      <w:lvlJc w:val="left"/>
      <w:pPr>
        <w:ind w:left="2880"/>
        <w:ind w:hanging="360"/>
      </w:pPr>
      <w:rPr/>
    </w:lvl>
    <w:lvl w:ilvl="4">
      <w:numFmt w:val="decimal"/>
      <w:lvlText w:val="%5."/>
      <w:start w:val="1"/>
      <w:lvlJc w:val="left"/>
      <w:pPr>
        <w:ind w:left="3600"/>
        <w:ind w:hanging="360"/>
      </w:pPr>
      <w:rPr/>
    </w:lvl>
    <w:lvl w:ilvl="5">
      <w:numFmt w:val="decimal"/>
      <w:lvlText w:val="%6."/>
      <w:start w:val="1"/>
      <w:lvlJc w:val="left"/>
      <w:pPr>
        <w:ind w:left="4320"/>
        <w:ind w:hanging="360"/>
      </w:pPr>
      <w:rPr/>
    </w:lvl>
    <w:lvl w:ilvl="6">
      <w:numFmt w:val="decimal"/>
      <w:lvlText w:val="%7."/>
      <w:start w:val="1"/>
      <w:lvlJc w:val="left"/>
      <w:pPr>
        <w:ind w:left="5040"/>
        <w:ind w:hanging="360"/>
      </w:pPr>
      <w:rPr/>
    </w:lvl>
    <w:lvl w:ilvl="7">
      <w:numFmt w:val="decimal"/>
      <w:lvlText w:val="%8."/>
      <w:start w:val="1"/>
      <w:lvlJc w:val="left"/>
      <w:pPr>
        <w:ind w:left="5760"/>
        <w:ind w:hanging="360"/>
      </w:pPr>
      <w:rPr/>
    </w:lvl>
    <w:lvl w:ilvl="8">
      <w:numFmt w:val="decimal"/>
      <w:lvlText w:val="%9."/>
      <w:start w:val="1"/>
      <w:lvlJc w:val="left"/>
      <w:pPr>
        <w:ind w:left="6480"/>
        <w:ind w:hanging="360"/>
      </w:pPr>
      <w:rPr/>
    </w:lvl>
  </w:abstractNum>
  <w:num w:numId="420370734">
    <w:abstractNumId w:val="420370734"/>
  </w:num>
  <w:num w:numId="467670320">
    <w:abstractNumId w:val="467670320"/>
  </w:num>
  <w:num w:numId="1009484431">
    <w:abstractNumId w:val="1009484431"/>
  </w:num>
  <w:num w:numId="1023282566">
    <w:abstractNumId w:val="1023282566"/>
  </w:num>
  <w:num w:numId="1106507510">
    <w:abstractNumId w:val="1106507510"/>
  </w:num>
  <w:num w:numId="1292975388">
    <w:abstractNumId w:val="1292975388"/>
  </w:num>
  <w:num w:numId="1365447510">
    <w:abstractNumId w:val="1365447510"/>
  </w:num>
  <w:num w:numId="1609241170">
    <w:abstractNumId w:val="1609241170"/>
  </w:num>
  <w:num w:numId="1657523230">
    <w:abstractNumId w:val="1657523230"/>
  </w:num>
  <w:num w:numId="2051219215">
    <w:abstractNumId w:val="2051219215"/>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rPr>
    </w:r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/&gt;
  </w:latentStyles>
  <w:style w:type="paragraph" w:default="1" w:styleId="Normal">
    <w:name w:val="Normal"/>
    <w:qFormat/>
    <w:pPr>
      <w:ind w:firstLine="720"/>
      <w:spacing w:line="560" w:lineRule="atLeast"/>
    </w:pPr>
    <w:rPr>
      <w:sz w:val="24"/>
    </w:rPr>
  </w:style>
  <w:style w:type="paragraph" w:styleId="Heading1">
    <w:name w:val="Heading 1"/>
    <w:qFormat/>
    <w:basedOn w:val="Normal"/>
    <w:pPr>
      <w:ind w:firstLine="0"/>
    </w:pPr>
    <w:rPr>
      <w:b/>
    </w:rPr>
  </w:style>
  <w:style w:type="paragraph" w:styleId="Heading2">
    <w:name w:val="Heading 2"/>
    <w:qFormat/>
    <w:basedOn w:val="NormalNoIndent"/>
    <w:pPr/>
    <w:rPr>
      <w:b/>
    </w:rPr>
  </w:style>
  <w:style w:type="paragraph" w:styleId="Heading3">
    <w:name w:val="Heading 3"/>
    <w:qFormat/>
    <w:basedOn w:val="Normal"/>
    <w:pPr/>
    <w:rPr>
      <w:b/>
    </w:rPr>
  </w:style>
  <w:style w:type="paragraph" w:styleId="Heading4">
    <w:name w:val="Heading 4"/>
    <w:qFormat/>
    <w:basedOn w:val="Normal"/>
    <w:pPr/>
    <w:rPr>
      <w:b/>
      <w:i/>
    </w:rPr>
  </w:style>
  <w:style w:type="paragraph" w:styleId="Heading5">
    <w:name w:val="Heading 5"/>
    <w:qFormat/>
    <w:basedOn w:val="Normal"/>
    <w:pPr/>
    <w:rPr>
      <w:i/>
    </w:rPr>
  </w:style>
  <w:style w:type="character" w:styleId="DefaultParagraphFont">
    <w:name w:val="Default Paragraph Font"/>
    <w:qFormat/>
  </w:style>
  <w:style w:type="table" w:styleId="TableNormal">
    <w:name w:val="Table Normal"/>
    <w:qFormat/>
    <w:pPr/>
  </w:style>
  <w:style w:type="numbering" w:styleId="NoList">
    <w:name w:val="No List"/>
    <w:qFormat/>
  </w:style>
  <w:style w:type="paragraph" w:styleId="NormalIndent">
    <w:name w:val="Normal Indent"/>
    <w:qFormat/>
    <w:basedOn w:val="Normal"/>
    <w:pPr/>
  </w:style>
  <w:style w:type="paragraph" w:styleId="Header">
    <w:name w:val="Header"/>
    <w:qFormat/>
    <w:basedOn w:val="Normal"/>
    <w:pPr>
      <w:ind w:firstLine="0"/>
    </w:pPr>
  </w:style>
  <w:style w:type="paragraph" w:styleId="TitlePage">
    <w:name w:val="TitlePage"/>
    <w:qFormat/>
    <w:basedOn w:val="Normal"/>
    <w:pPr>
      <w:ind w:firstLine="0"/>
    </w:pPr>
  </w:style>
  <w:style w:type="paragraph" w:styleId="ReferenceFinal">
    <w:name w:val="Reference Final"/>
    <w:qFormat/>
    <w:basedOn w:val="Normal"/>
    <w:pPr>
      <w:ind w:left="720"/>
      <w:ind w:hanging="720"/>
    </w:pPr>
  </w:style>
  <w:style w:type="paragraph" w:styleId="LongQuote">
    <w:name w:val="LongQuote"/>
    <w:qFormat/>
    <w:basedOn w:val="Normal"/>
    <w:pPr>
      <w:ind w:left="720"/>
      <w:ind w:firstLine="0"/>
    </w:pPr>
  </w:style>
  <w:style w:type="paragraph" w:styleId="ReferenceManuscript">
    <w:name w:val="Reference Manuscript"/>
    <w:qFormat/>
    <w:basedOn w:val="ReferenceFinal"/>
    <w:pPr/>
  </w:style>
  <w:style w:type="paragraph" w:styleId="NormalNoIndent">
    <w:name w:val="Normal No Indent"/>
    <w:qFormat/>
    <w:basedOn w:val="Normal"/>
    <w:pPr>
      <w:ind w:firstLine="0"/>
    </w:pPr>
  </w:style>
  <w:style w:type="character" w:styleId="PageNumber">
    <w:name w:val="Page Number"/>
    <w:qFormat/>
    <w:basedOn w:val="DefaultParagraphFont"/>
  </w:style>
  <w:style w:type="paragraph" w:styleId="References">
    <w:name w:val="References"/>
    <w:qFormat/>
    <w:basedOn w:val="Normal"/>
    <w:pPr>
      <w:ind w:left="720"/>
      <w:ind w:hanging="720"/>
    </w:pPr>
  </w:style>
  <w:style w:type="character" w:styleId="Heading4-APA">
    <w:name w:val="Heading 4-APA"/>
    <w:qFormat/>
    <w:rPr>
      <w:b/>
      <w:i/>
    </w:rPr>
  </w:style>
  <w:style w:type="paragraph" w:styleId="Footer">
    <w:name w:val="Footer"/>
    <w:qFormat/>
    <w:basedOn w:val="Normal"/>
    <w:pPr>
      <w:ind w:firstLine="0"/>
    </w:pPr>
  </w:style>
  <w:style w:type="character" w:styleId="Hyperlink">
    <w:name w:val="Hyperlink"/>
    <w:qFormat/>
    <w:rPr>
      <w:u w:val="single"/>
      <w:color w:val="0000FF"/>
    </w:rPr>
  </w:style>
  <w:style w:type="character" w:styleId="Emphasis">
    <w:name w:val="Emphasis"/>
    <w:qFormat/>
    <w:rPr>
      <w:i/>
    </w:rPr>
  </w:style>
  <w:style w:type="character" w:styleId="Strong">
    <w:name w:val="Strong"/>
    <w:qFormat/>
    <w:rPr>
      <w:b/>
    </w:rPr>
  </w:style>
  <w:style w:type="paragraph" w:styleId="APA">
    <w:name w:val="APA"/>
    <w:qFormat/>
    <w:basedOn w:val="BodyText"/>
    <w:pPr>
      <w:spacing w:after="0" w:line="480" w:lineRule="auto"/>
    </w:pPr>
  </w:style>
  <w:style w:type="paragraph" w:styleId="BodyText">
    <w:name w:val="Body Text"/>
    <w:qFormat/>
    <w:basedOn w:val="Normal"/>
    <w:pPr>
      <w:spacing w:after="120"/>
    </w:pPr>
  </w:style>
  <w:style w:type="character" w:styleId="BodyTextChar">
    <w:name w:val="Body Text Char"/>
    <w:qFormat/>
    <w:rPr>
      <w:sz w:val="24"/>
    </w:rPr>
  </w:style>
  <w:style w:type="paragraph" w:styleId="apareference">
    <w:name w:val="apareference"/>
    <w:qFormat/>
    <w:basedOn w:val="Normal"/>
    <w:pPr>
      <w:ind w:firstLine="0"/>
      <w:spacing w:before="0" w:after="0" w:line="240" w:lineRule="auto"/>
    </w:pPr>
    <w:rPr>
      <w:szCs w:val="24"/>
    </w:rPr>
  </w:style>
  <w:style w:type="character" w:styleId="Heading1Char">
    <w:name w:val="Heading 1 Char"/>
    <w:qFormat/>
    <w:rPr>
      <w:b/>
      <w:sz w:val="24"/>
    </w:rPr>
  </w:style>
  <w:style w:type="character" w:styleId="CommentReference">
    <w:name w:val="Comment Reference"/>
    <w:qFormat/>
    <w:rPr>
      <w:sz w:val="16"/>
      <w:szCs w:val="16"/>
    </w:rPr>
  </w:style>
  <w:style w:type="paragraph" w:styleId="CommentText">
    <w:name w:val="Comment Text"/>
    <w:qFormat/>
    <w:basedOn w:val="Normal"/>
    <w:pPr/>
    <w:rPr>
      <w:sz w:val="20"/>
    </w:rPr>
  </w:style>
  <w:style w:type="character" w:styleId="CommentTextChar">
    <w:name w:val="Comment Text Char"/>
    <w:qFormat/>
    <w:basedOn w:val="DefaultParagraphFont"/>
  </w:style>
  <w:style w:type="paragraph" w:styleId="BalloonText">
    <w:name w:val="Balloon Text"/>
    <w:qFormat/>
    <w:basedOn w:val="Normal"/>
    <w:pPr>
      <w:spacing w:line="240" w:lineRule="auto"/>
    </w:pPr>
    <w:rPr>
      <w:rFonts w:ascii="Tahoma" w:hAnsi="Tahoma"/>
      <w:sz w:val="16"/>
      <w:szCs w:val="16"/>
    </w:rPr>
  </w:style>
  <w:style w:type="character" w:styleId="BalloonTextChar">
    <w:name w:val="Balloon Text Char"/>
    <w:qFormat/>
    <w:rPr>
      <w:rFonts w:ascii="Tahoma" w:hAnsi="Tahoma"/>
      <w:sz w:val="16"/>
      <w:szCs w:val="16"/>
    </w:rPr>
  </w:style>
  <w:style w:type="paragraph" w:styleId="NormalWeb">
    <w:name w:val="Normal (Web)"/>
    <w:qFormat/>
    <w:basedOn w:val="Normal"/>
    <w:pPr>
      <w:ind w:firstLine="0"/>
      <w:spacing w:before="0" w:after="0" w:line="240" w:lineRule="auto"/>
    </w:pPr>
    <w:rPr>
      <w:szCs w:val="24"/>
    </w:rPr>
  </w:style>
  <w:style w:type="paragraph" w:styleId="Default">
    <w:name w:val="Default"/>
    <w:qFormat/>
    <w:pPr/>
    <w:rPr>
      <w:color w:val="000000"/>
      <w:sz w:val="24"/>
      <w:szCs w:val="24"/>
    </w:rPr>
  </w:style>
  <w:style w:type="paragraph" w:styleId="APAReference">
    <w:name w:val="APA Reference"/>
    <w:qFormat/>
    <w:basedOn w:val="APA"/>
    <w:pPr>
      <w:ind w:left="720"/>
      <w:ind w:hanging="720"/>
    </w:pPr>
    <w:rPr>
      <w:rFonts w:ascii="Calibri" w:hAnsi="Calibri"/>
      <w:szCs w:val="22"/>
    </w:rPr>
  </w:style>
  <w:style w:type="table" w:styleId="TableGrid">
    <w:name w:val="Table Grid"/>
    <w:qFormat/>
    <w:basedOn w:val="TableNormal"/>
    <w:pPr/>
    <w:tblPr>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tblStyle w:val="TableGrid"/>
      <w:tblLook w:val="1E0"/>
    </w:tblPr>
  </w:style>
  <w:style w:type="paragraph" w:styleId="CM1">
    <w:name w:val="CM1"/>
    <w:qFormat/>
    <w:basedOn w:val="Default"/>
    <w:pPr/>
    <w:rPr>
      <w:color w:val="000000"/>
    </w:rPr>
  </w:style>
  <w:style w:type="paragraph" w:styleId="CM9">
    <w:name w:val="CM9"/>
    <w:qFormat/>
    <w:basedOn w:val="Default"/>
    <w:pPr/>
    <w:rPr>
      <w:color w:val="000000"/>
    </w:rPr>
  </w:style>
  <w:style w:type="paragraph" w:styleId="CM7">
    <w:name w:val="CM7"/>
    <w:qFormat/>
    <w:basedOn w:val="Default"/>
    <w:pPr>
      <w:spacing w:line="258" w:lineRule="atLeast"/>
    </w:pPr>
    <w:rPr>
      <w:color w:val="000000"/>
    </w:rPr>
  </w:style>
  <w:style w:type="paragraph" w:styleId="Title">
    <w:name w:val="Title"/>
    <w:qFormat/>
    <w:basedOn w:val="Normal"/>
    <w:pPr>
      <w:ind w:firstLine="0"/>
      <w:spacing w:before="240" w:after="60" w:line="240" w:lineRule="auto"/>
    </w:pPr>
    <w:rPr>
      <w:b/>
      <w:rFonts w:ascii="Cambria" w:hAnsi="Cambria"/>
      <w:sz w:val="32"/>
      <w:szCs w:val="32"/>
    </w:rPr>
  </w:style>
  <w:style w:type="character" w:styleId="TitleChar">
    <w:name w:val="Title Char"/>
    <w:qFormat/>
    <w:rPr>
      <w:b/>
      <w:rFonts w:ascii="Cambria" w:hAnsi="Cambria"/>
      <w:sz w:val="32"/>
      <w:szCs w:val="32"/>
    </w:rPr>
  </w:style>
  <w:style w:type="paragraph" w:styleId="NoSpacing">
    <w:name w:val="No Spacing"/>
    <w:qFormat/>
    <w:pPr/>
    <w:rPr>
      <w:rFonts w:ascii="Calibri" w:hAnsi="Calibri"/>
      <w:sz w:val="22"/>
      <w:szCs w:val="22"/>
    </w:rPr>
  </w:style>
  <w:style w:type="paragraph" w:styleId="CommentSubject">
    <w:name w:val="Comment Subject"/>
    <w:qFormat/>
    <w:basedOn w:val="CommentText"/>
    <w:pPr/>
    <w:rPr>
      <w:b/>
    </w:rPr>
  </w:style>
  <w:style w:type="character" w:styleId="CommentSubjectChar">
    <w:name w:val="Comment Subject Char"/>
    <w:qFormat/>
    <w:rPr>
      <w:b/>
    </w:rPr>
  </w:style>
  <w:style w:type="paragraph" w:styleId="DocumentMap">
    <w:name w:val="Document Map"/>
    <w:qFormat/>
    <w:basedOn w:val="Normal"/>
    <w:pPr>
      <w:spacing w:line="240" w:lineRule="auto"/>
    </w:pPr>
    <w:rPr>
      <w:rFonts w:ascii="Tahoma" w:hAnsi="Tahoma"/>
      <w:sz w:val="16"/>
      <w:szCs w:val="16"/>
    </w:rPr>
  </w:style>
  <w:style w:type="character" w:styleId="DocumentMapChar">
    <w:name w:val="Document Map Char"/>
    <w:qFormat/>
    <w:rPr>
      <w:rFonts w:ascii="Tahoma" w:hAnsi="Tahoma"/>
      <w:sz w:val="16"/>
      <w:szCs w:val="16"/>
    </w:rPr>
  </w:style>
  <w:style w:type="paragraph" w:styleId="GrandCanyonBulletedList">
    <w:name w:val="Grand Canyon Bulleted List"/>
    <w:qFormat/>
    <w:basedOn w:val="Normal"/>
    <w:pPr>
      <w:spacing w:line="240" w:lineRule="auto"/>
    </w:pPr>
    <w:rPr>
      <w:szCs w:val="24"/>
    </w:rPr>
  </w:style>
  <w:style w:type="paragraph" w:styleId="Subtitle">
    <w:name w:val="Subtitle"/>
    <w:basedOn w:val="Normal"/>
    <w:rPr>
      <w:i/>
      <w:color w:val="4F81BD"/>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7" Type="http://schemas.openxmlformats.org/officeDocument/2006/relationships/numbering" Target="numbering.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cp:revision>
  <dcterms:created xsi:type="dcterms:W3CDTF">2007-04-30T19:01:00Z</dcterms:created>
  <dcterms:modified xsi:type="dcterms:W3CDTF">2011-09-26T12:08:00Z</dcterms:modified>
</cp:coreProperties>
</file>